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39AA6" w14:textId="562A056A" w:rsidR="00802D72" w:rsidRPr="00802D72" w:rsidRDefault="00A2436E" w:rsidP="00802D72">
      <w:pPr>
        <w:spacing w:before="100" w:beforeAutospacing="1" w:after="100" w:afterAutospacing="1"/>
        <w:jc w:val="center"/>
        <w:rPr>
          <w:b/>
          <w:bCs/>
          <w:sz w:val="40"/>
          <w:szCs w:val="40"/>
        </w:rPr>
      </w:pPr>
      <w:r>
        <w:rPr>
          <w:rFonts w:hint="cs"/>
          <w:b/>
          <w:bCs/>
          <w:sz w:val="40"/>
          <w:szCs w:val="40"/>
          <w:rtl/>
        </w:rPr>
        <w:t xml:space="preserve">טיוטת </w:t>
      </w:r>
      <w:r w:rsidR="00802D72" w:rsidRPr="00802D72">
        <w:rPr>
          <w:rFonts w:hint="cs"/>
          <w:b/>
          <w:bCs/>
          <w:sz w:val="40"/>
          <w:szCs w:val="40"/>
          <w:rtl/>
        </w:rPr>
        <w:t>גילוי דעת 3/1</w:t>
      </w:r>
      <w:bookmarkStart w:id="0" w:name="_GoBack"/>
      <w:bookmarkEnd w:id="0"/>
      <w:r w:rsidR="00802D72" w:rsidRPr="00802D72">
        <w:rPr>
          <w:rFonts w:hint="cs"/>
          <w:b/>
          <w:bCs/>
          <w:sz w:val="40"/>
          <w:szCs w:val="40"/>
          <w:rtl/>
        </w:rPr>
        <w:t>4</w:t>
      </w:r>
      <w:r>
        <w:rPr>
          <w:rFonts w:hint="cs"/>
          <w:b/>
          <w:bCs/>
          <w:sz w:val="40"/>
          <w:szCs w:val="40"/>
          <w:rtl/>
        </w:rPr>
        <w:t xml:space="preserve"> (נוסח מתוקן)</w:t>
      </w:r>
    </w:p>
    <w:p w14:paraId="4EA09E48" w14:textId="77777777" w:rsidR="00802D72" w:rsidRPr="00802D72" w:rsidRDefault="00802D72" w:rsidP="00802D72">
      <w:pPr>
        <w:spacing w:before="100" w:beforeAutospacing="1" w:after="100" w:afterAutospacing="1"/>
        <w:jc w:val="center"/>
        <w:rPr>
          <w:b/>
          <w:bCs/>
          <w:sz w:val="40"/>
          <w:szCs w:val="40"/>
          <w:u w:val="single"/>
        </w:rPr>
      </w:pPr>
      <w:r w:rsidRPr="00802D72">
        <w:rPr>
          <w:rFonts w:hint="cs"/>
          <w:b/>
          <w:bCs/>
          <w:sz w:val="40"/>
          <w:szCs w:val="40"/>
          <w:u w:val="single"/>
          <w:rtl/>
        </w:rPr>
        <w:t>בעניין איגודים עסקיים ופעילותם</w:t>
      </w:r>
    </w:p>
    <w:p w14:paraId="02E5110B" w14:textId="77777777" w:rsidR="00802D72" w:rsidRPr="00802D72" w:rsidRDefault="00802D72" w:rsidP="00802D72">
      <w:pPr>
        <w:pStyle w:val="Heading1"/>
        <w:keepNext w:val="0"/>
        <w:keepLines w:val="0"/>
        <w:numPr>
          <w:ilvl w:val="0"/>
          <w:numId w:val="22"/>
        </w:numPr>
        <w:spacing w:before="120" w:after="120"/>
        <w:ind w:left="714" w:hanging="357"/>
        <w:jc w:val="left"/>
        <w:rPr>
          <w:rFonts w:eastAsia="Times New Roman" w:cs="David"/>
          <w:sz w:val="24"/>
          <w:szCs w:val="24"/>
          <w:rtl/>
        </w:rPr>
      </w:pPr>
      <w:bookmarkStart w:id="1" w:name="_Toc151956797"/>
      <w:r w:rsidRPr="00802D72">
        <w:rPr>
          <w:rFonts w:eastAsia="Times New Roman" w:cs="David" w:hint="cs"/>
          <w:sz w:val="24"/>
          <w:szCs w:val="24"/>
          <w:rtl/>
        </w:rPr>
        <w:t xml:space="preserve">פתח דבר </w:t>
      </w:r>
    </w:p>
    <w:p w14:paraId="28CB8127" w14:textId="77777777" w:rsidR="00802D72" w:rsidRPr="00802D72" w:rsidRDefault="00802D72" w:rsidP="00802D72">
      <w:pPr>
        <w:pStyle w:val="ListParagraph"/>
        <w:numPr>
          <w:ilvl w:val="0"/>
          <w:numId w:val="23"/>
        </w:numPr>
        <w:tabs>
          <w:tab w:val="clear" w:pos="720"/>
          <w:tab w:val="left" w:pos="752"/>
        </w:tabs>
        <w:spacing w:before="120"/>
        <w:ind w:left="714" w:hanging="357"/>
        <w:rPr>
          <w:rFonts w:eastAsiaTheme="minorEastAsia"/>
          <w:rtl/>
        </w:rPr>
      </w:pPr>
      <w:r w:rsidRPr="00802D72">
        <w:rPr>
          <w:rFonts w:hint="cs"/>
          <w:rtl/>
        </w:rPr>
        <w:t>עניינו של גילוי דעת זה הוא בפעילותם של איגודים עסקיים בהיבט דיני התחרות. איגודים עסקיים הינם חזון נפרץ בחיי הכלכלה ובנוף העסקים בישראל. כאשר האיגוד העסקי פועל כדין לקידום אינטרסים לגיטימיים של אותו ענף, עשויה פעולתו לשרת אף את עניינם של צרכנים וגורמים אחרים המושפעים מן הפעילות בענף.</w:t>
      </w:r>
      <w:r w:rsidRPr="00802D72">
        <w:rPr>
          <w:rStyle w:val="FootnoteReference"/>
          <w:rtl/>
        </w:rPr>
        <w:footnoteReference w:id="1"/>
      </w:r>
      <w:r w:rsidRPr="00802D72">
        <w:rPr>
          <w:rFonts w:hint="cs"/>
          <w:rtl/>
        </w:rPr>
        <w:t xml:space="preserve"> עם זאת, מזווית הראייה התחרותית, האיגוד העסקי הינו חוליית קישור בין עסקים מתחרים העלולה לשמש, חלילה, אכסניה להסדרים כובלים ולקווי פעולה אסורים. </w:t>
      </w:r>
    </w:p>
    <w:p w14:paraId="22268AD1" w14:textId="77777777" w:rsidR="00802D72" w:rsidRPr="00802D72" w:rsidRDefault="00802D72" w:rsidP="00CA5719">
      <w:pPr>
        <w:pStyle w:val="ListParagraph"/>
        <w:numPr>
          <w:ilvl w:val="0"/>
          <w:numId w:val="23"/>
        </w:numPr>
        <w:tabs>
          <w:tab w:val="clear" w:pos="720"/>
          <w:tab w:val="left" w:pos="752"/>
        </w:tabs>
        <w:spacing w:before="100" w:beforeAutospacing="1" w:after="100" w:afterAutospacing="1"/>
        <w:rPr>
          <w:rtl/>
        </w:rPr>
      </w:pPr>
      <w:r w:rsidRPr="00802D72">
        <w:rPr>
          <w:rFonts w:hint="cs"/>
          <w:rtl/>
        </w:rPr>
        <w:t xml:space="preserve">נוכח הרגישות התחרותית הטבועה בו, על איגוד עסקי המבקש למנוע הפרת הדין ועל ממלאי תפקיד בו לנקוט את האמצעים הנדרשים באופן סביר כדי למנוע הפרת דיני </w:t>
      </w:r>
      <w:r w:rsidR="00CA5719">
        <w:rPr>
          <w:rFonts w:hint="cs"/>
          <w:rtl/>
        </w:rPr>
        <w:t>התחרות</w:t>
      </w:r>
      <w:r w:rsidRPr="00802D72">
        <w:rPr>
          <w:rFonts w:hint="cs"/>
          <w:rtl/>
        </w:rPr>
        <w:t xml:space="preserve"> במסגרת הפעילות באיגוד או כתוצאה ממנה, וזאת מראשית היווסדו ולאורך כל תקופת קיומו. איגוד עסקי וממלאי תפקיד בו, שלא ינקטו אמצעים אלה, יהיו עלולים לשאת באחריות להפרת הדין.   </w:t>
      </w:r>
    </w:p>
    <w:p w14:paraId="3BA82FA5" w14:textId="77777777" w:rsidR="00802D72" w:rsidRPr="00802D72" w:rsidRDefault="00802D72" w:rsidP="00ED11B7">
      <w:pPr>
        <w:pStyle w:val="ListParagraph"/>
        <w:numPr>
          <w:ilvl w:val="0"/>
          <w:numId w:val="23"/>
        </w:numPr>
        <w:tabs>
          <w:tab w:val="clear" w:pos="720"/>
          <w:tab w:val="left" w:pos="752"/>
        </w:tabs>
        <w:spacing w:before="100" w:beforeAutospacing="1" w:after="100" w:afterAutospacing="1"/>
        <w:rPr>
          <w:rtl/>
        </w:rPr>
      </w:pPr>
      <w:r w:rsidRPr="00802D72">
        <w:rPr>
          <w:rFonts w:hint="cs"/>
          <w:rtl/>
        </w:rPr>
        <w:t xml:space="preserve">תכליתו של גילוי הדעת הנוכחי היא לפרוס את עמדת הממונה על </w:t>
      </w:r>
      <w:r w:rsidR="00CA5719">
        <w:rPr>
          <w:rFonts w:hint="cs"/>
          <w:rtl/>
        </w:rPr>
        <w:t>התחרות</w:t>
      </w:r>
      <w:r w:rsidRPr="00802D72">
        <w:rPr>
          <w:rFonts w:hint="cs"/>
          <w:rtl/>
        </w:rPr>
        <w:t xml:space="preserve"> ביחס להתנהלות איגודים עסקיים, חברים בהם, ממלאי תפקיד וכל אדם הפועל מטעם איגוד עסקי או בשליחותו, באמצעות כללי עשה ואל תעשה, ולהציב תמרורי אזהרה מפני התנהלות </w:t>
      </w:r>
      <w:r w:rsidRPr="00802D72">
        <w:rPr>
          <w:rFonts w:hint="cs"/>
          <w:rtl/>
        </w:rPr>
        <w:lastRenderedPageBreak/>
        <w:t xml:space="preserve">אסורה במסגרת האיגוד העסקי או בחסותו. גילוי דעת זה אינו מהווה פטור סוג ואינו מייתר פטור מטעם הממונה או אישור בית הדין בכל מקרה שבו הם נדרשים. כמו כן, גילוי הדעת הנוכחי אינו עוסק באמצעי האכיפה שאותם תנקוט </w:t>
      </w:r>
      <w:r w:rsidR="00ED11B7">
        <w:rPr>
          <w:rFonts w:hint="cs"/>
          <w:rtl/>
        </w:rPr>
        <w:t>רשות התחרות</w:t>
      </w:r>
      <w:r w:rsidRPr="00802D72">
        <w:rPr>
          <w:rFonts w:hint="cs"/>
          <w:rtl/>
        </w:rPr>
        <w:t xml:space="preserve"> במקרה של הפרת </w:t>
      </w:r>
      <w:r w:rsidR="00CA5719">
        <w:rPr>
          <w:rFonts w:hint="cs"/>
          <w:rtl/>
        </w:rPr>
        <w:t xml:space="preserve">חוק התחרות הכלכלית, התשמ"ח-1988 (להלן </w:t>
      </w:r>
      <w:r w:rsidR="00CA5719" w:rsidRPr="00F14CF4">
        <w:rPr>
          <w:rFonts w:hint="eastAsia"/>
          <w:b/>
          <w:bCs/>
          <w:rtl/>
        </w:rPr>
        <w:t>החוק</w:t>
      </w:r>
      <w:r w:rsidR="00CA5719">
        <w:rPr>
          <w:rFonts w:hint="cs"/>
          <w:rtl/>
        </w:rPr>
        <w:t xml:space="preserve">) </w:t>
      </w:r>
      <w:r w:rsidRPr="00802D72">
        <w:rPr>
          <w:rFonts w:hint="cs"/>
          <w:rtl/>
        </w:rPr>
        <w:t>על ידי איגוד עסקי או ממלאי תפקידים בו.</w:t>
      </w:r>
      <w:r w:rsidRPr="00802D72">
        <w:rPr>
          <w:rStyle w:val="FootnoteReference"/>
          <w:rtl/>
        </w:rPr>
        <w:footnoteReference w:id="2"/>
      </w:r>
      <w:r w:rsidRPr="00802D72">
        <w:rPr>
          <w:rFonts w:hint="cs"/>
          <w:rtl/>
        </w:rPr>
        <w:t xml:space="preserve"> </w:t>
      </w:r>
    </w:p>
    <w:p w14:paraId="3E389DDD" w14:textId="77777777" w:rsidR="00802D72" w:rsidRDefault="00802D72" w:rsidP="00E45C97">
      <w:pPr>
        <w:pStyle w:val="ListParagraph"/>
        <w:numPr>
          <w:ilvl w:val="0"/>
          <w:numId w:val="23"/>
        </w:numPr>
        <w:tabs>
          <w:tab w:val="clear" w:pos="720"/>
          <w:tab w:val="left" w:pos="752"/>
        </w:tabs>
        <w:spacing w:before="100" w:beforeAutospacing="1" w:after="100" w:afterAutospacing="1"/>
      </w:pPr>
      <w:r w:rsidRPr="00802D72">
        <w:rPr>
          <w:rFonts w:hint="cs"/>
          <w:rtl/>
        </w:rPr>
        <w:t xml:space="preserve">מילוי בתום לב ובקפידה של הכללים המפורטים בפרק ד' להלן, לגבי הנושאים המפורטים בו, ייראה על ידי </w:t>
      </w:r>
      <w:r w:rsidR="00E45C97">
        <w:rPr>
          <w:rFonts w:hint="cs"/>
          <w:rtl/>
        </w:rPr>
        <w:t>רשות התחרות</w:t>
      </w:r>
      <w:r w:rsidRPr="00802D72">
        <w:rPr>
          <w:rFonts w:hint="cs"/>
          <w:rtl/>
        </w:rPr>
        <w:t xml:space="preserve"> כפרקטיקה מיטבית באשר להתנהלות האיגוד עסקי בקשר לאותם נושאים וכנקיטת אמצעים סבירים להבטחת שמירתו של החוק בקשר לאותם נושאים.  </w:t>
      </w:r>
    </w:p>
    <w:p w14:paraId="1D0D07B8" w14:textId="77777777" w:rsidR="00E45C97" w:rsidRDefault="00E45C97" w:rsidP="00E45C97">
      <w:pPr>
        <w:pStyle w:val="ListParagraph"/>
        <w:tabs>
          <w:tab w:val="left" w:pos="752"/>
        </w:tabs>
        <w:spacing w:before="100" w:beforeAutospacing="1" w:after="100" w:afterAutospacing="1"/>
        <w:rPr>
          <w:rtl/>
        </w:rPr>
      </w:pPr>
    </w:p>
    <w:p w14:paraId="17EDEEEB" w14:textId="77777777" w:rsidR="00E45C97" w:rsidRDefault="00E45C97" w:rsidP="00E45C97">
      <w:pPr>
        <w:pStyle w:val="ListParagraph"/>
        <w:tabs>
          <w:tab w:val="left" w:pos="752"/>
        </w:tabs>
        <w:spacing w:before="100" w:beforeAutospacing="1" w:after="100" w:afterAutospacing="1"/>
        <w:rPr>
          <w:rtl/>
        </w:rPr>
      </w:pPr>
    </w:p>
    <w:p w14:paraId="1DF37561" w14:textId="77777777" w:rsidR="00E45C97" w:rsidRPr="00802D72" w:rsidRDefault="00E45C97" w:rsidP="00E45C97">
      <w:pPr>
        <w:pStyle w:val="ListParagraph"/>
        <w:tabs>
          <w:tab w:val="left" w:pos="752"/>
        </w:tabs>
        <w:spacing w:before="100" w:beforeAutospacing="1" w:after="100" w:afterAutospacing="1"/>
        <w:rPr>
          <w:rtl/>
        </w:rPr>
      </w:pPr>
    </w:p>
    <w:p w14:paraId="1FEAD312" w14:textId="77777777" w:rsidR="00802D72" w:rsidRPr="00802D72" w:rsidRDefault="00802D72" w:rsidP="00802D72">
      <w:pPr>
        <w:pStyle w:val="Heading1"/>
        <w:keepNext w:val="0"/>
        <w:keepLines w:val="0"/>
        <w:numPr>
          <w:ilvl w:val="0"/>
          <w:numId w:val="22"/>
        </w:numPr>
        <w:spacing w:before="120" w:after="120"/>
        <w:ind w:left="714" w:hanging="357"/>
        <w:jc w:val="left"/>
        <w:rPr>
          <w:rtl/>
        </w:rPr>
      </w:pPr>
      <w:r w:rsidRPr="00802D72">
        <w:rPr>
          <w:rFonts w:eastAsia="Times New Roman" w:cs="David" w:hint="eastAsia"/>
          <w:sz w:val="24"/>
          <w:szCs w:val="24"/>
          <w:rtl/>
        </w:rPr>
        <w:t>איגוד</w:t>
      </w:r>
      <w:r w:rsidRPr="00802D72">
        <w:rPr>
          <w:rFonts w:eastAsia="Times New Roman" w:cs="David"/>
          <w:sz w:val="24"/>
          <w:szCs w:val="24"/>
          <w:rtl/>
        </w:rPr>
        <w:t xml:space="preserve"> </w:t>
      </w:r>
      <w:r w:rsidRPr="00802D72">
        <w:rPr>
          <w:rFonts w:eastAsia="Times New Roman" w:cs="David" w:hint="eastAsia"/>
          <w:sz w:val="24"/>
          <w:szCs w:val="24"/>
          <w:rtl/>
        </w:rPr>
        <w:t>עסקי</w:t>
      </w:r>
      <w:r w:rsidRPr="00802D72">
        <w:rPr>
          <w:rFonts w:eastAsia="Times New Roman" w:cs="David"/>
          <w:sz w:val="24"/>
          <w:szCs w:val="24"/>
          <w:rtl/>
        </w:rPr>
        <w:t xml:space="preserve"> </w:t>
      </w:r>
      <w:r w:rsidRPr="00802D72">
        <w:rPr>
          <w:rFonts w:eastAsia="Times New Roman" w:cs="David" w:hint="eastAsia"/>
          <w:sz w:val="24"/>
          <w:szCs w:val="24"/>
          <w:rtl/>
        </w:rPr>
        <w:t>בפרספקטיבה</w:t>
      </w:r>
      <w:r w:rsidRPr="00802D72">
        <w:rPr>
          <w:rFonts w:eastAsia="Times New Roman" w:cs="David"/>
          <w:sz w:val="24"/>
          <w:szCs w:val="24"/>
          <w:rtl/>
        </w:rPr>
        <w:t xml:space="preserve"> </w:t>
      </w:r>
      <w:r w:rsidRPr="00802D72">
        <w:rPr>
          <w:rFonts w:eastAsia="Times New Roman" w:cs="David" w:hint="eastAsia"/>
          <w:sz w:val="24"/>
          <w:szCs w:val="24"/>
          <w:rtl/>
        </w:rPr>
        <w:t>תחרותית</w:t>
      </w:r>
    </w:p>
    <w:p w14:paraId="0EB0224C" w14:textId="77777777" w:rsidR="00802D72" w:rsidRPr="00802D72" w:rsidRDefault="00802D72" w:rsidP="00802D72">
      <w:pPr>
        <w:spacing w:before="120"/>
        <w:ind w:left="357"/>
        <w:rPr>
          <w:rFonts w:cs="Times New Roman"/>
          <w:b/>
          <w:bCs/>
          <w:rtl/>
        </w:rPr>
      </w:pPr>
      <w:r w:rsidRPr="00802D72">
        <w:rPr>
          <w:rFonts w:hint="cs"/>
          <w:b/>
          <w:bCs/>
          <w:rtl/>
        </w:rPr>
        <w:t>כללי</w:t>
      </w:r>
    </w:p>
    <w:p w14:paraId="16207F66" w14:textId="77777777" w:rsidR="00802D72" w:rsidRPr="00802D72" w:rsidRDefault="00802D72" w:rsidP="00802D72">
      <w:pPr>
        <w:pStyle w:val="ListParagraph"/>
        <w:numPr>
          <w:ilvl w:val="0"/>
          <w:numId w:val="23"/>
        </w:numPr>
        <w:spacing w:before="120"/>
        <w:ind w:left="714" w:hanging="357"/>
      </w:pPr>
      <w:r w:rsidRPr="00802D72">
        <w:rPr>
          <w:rFonts w:hint="cs"/>
          <w:rtl/>
        </w:rPr>
        <w:t xml:space="preserve">"איגוד עסקי" מוגדר בסעיף 1 לחוק כ"חבר בני אדם, בין מאוגד ובין שאינו מאוגד, שמטרותיו, כולן או חלקן, הן קידום ענייניהם העסקיים של החברים בו". הגדרה זו חלה על כל חבר בני אדם שנוצר על מנת לייצג אינטרסים עסקיים של החברים בו, בין שהוא תאגיד ובין שאינו תאגיד, בין שהוא מקיים פעילות עסקית עצמאית ובין שאינו מקיים פעילות כזאת, בין שכל חבריו פועלים בישראל ובין </w:t>
      </w:r>
      <w:r w:rsidRPr="00802D72">
        <w:rPr>
          <w:rFonts w:hint="cs"/>
          <w:rtl/>
        </w:rPr>
        <w:lastRenderedPageBreak/>
        <w:t>שרק חלקם פועלים בישראל.</w:t>
      </w:r>
      <w:r w:rsidRPr="00802D72">
        <w:rPr>
          <w:rStyle w:val="FootnoteReference"/>
          <w:rtl/>
        </w:rPr>
        <w:footnoteReference w:id="3"/>
      </w:r>
      <w:r w:rsidRPr="00802D72">
        <w:rPr>
          <w:rFonts w:hint="cs"/>
          <w:rtl/>
        </w:rPr>
        <w:t xml:space="preserve"> איגוד עסקי עשוי לכלול גם עוסקים מחוליות שונות בשרשרת המוצר או לאגד עוסקים מענפים נפרדים וכן עשוי להיות חבירה של כמה איגודים עסקיים. חבר בני אדם ייראה כאיגוד עסקי כמשמעו בחוק בהתאם למהותו ולא על פי הגדרתו או כינויו, יהא כינויו "איגוד", "אגודה", "ועד" "עמותה", "התאחדות", "הסתדרות" וכיו"ב.</w:t>
      </w:r>
    </w:p>
    <w:p w14:paraId="77C431F6" w14:textId="77777777" w:rsidR="00802D72" w:rsidRPr="00802D72" w:rsidRDefault="00802D72" w:rsidP="00802D72">
      <w:pPr>
        <w:pStyle w:val="ListParagraph"/>
        <w:numPr>
          <w:ilvl w:val="0"/>
          <w:numId w:val="23"/>
        </w:numPr>
        <w:tabs>
          <w:tab w:val="clear" w:pos="720"/>
          <w:tab w:val="left" w:pos="752"/>
        </w:tabs>
        <w:spacing w:before="100" w:beforeAutospacing="1" w:after="100" w:afterAutospacing="1"/>
        <w:rPr>
          <w:rtl/>
        </w:rPr>
      </w:pPr>
      <w:r w:rsidRPr="00802D72">
        <w:rPr>
          <w:rFonts w:hint="cs"/>
          <w:rtl/>
        </w:rPr>
        <w:t xml:space="preserve">חבירת עוסקים הפועלים בענף מסוים לאיגוד עסקי אינה מהווה, כשלעצמה, הסדר כובל. מנגד, החבירה לאיגוד עסקי והחברות בו אינן מקנות הגנה מאחריות צדדים להסדר כובל, ככל שהוא מתקיים בקשר עם האיגוד. כך למשל, כאשר תקנון האיגוד העסקי מהווה הסדר כובל, עצם ההצטרפות לאיגוד עלולה להיראות כהצטרפות להסדר כובל. התנהלות העוסקים תיבחן לפי מהותה, בין אם היא מתקיימת במסגרת איגוד עסקי ובין אם לאו, בין אם המשתתפים בה חברים באיגוד עסקי ובין אם לאו. </w:t>
      </w:r>
    </w:p>
    <w:p w14:paraId="3CBD9644" w14:textId="77777777" w:rsidR="00802D72" w:rsidRPr="00802D72" w:rsidRDefault="00802D72" w:rsidP="00802D72">
      <w:pPr>
        <w:pStyle w:val="ListParagraph"/>
        <w:numPr>
          <w:ilvl w:val="0"/>
          <w:numId w:val="23"/>
        </w:numPr>
        <w:spacing w:before="100" w:beforeAutospacing="1" w:after="100" w:afterAutospacing="1"/>
      </w:pPr>
      <w:r w:rsidRPr="00802D72">
        <w:rPr>
          <w:rFonts w:hint="cs"/>
          <w:rtl/>
        </w:rPr>
        <w:t>האיגוד העסקי עצמו, נבדל ממיזם משותף או ממיזוג, בכך שכינונו באופן טיפוסי אינו משנה את מפת השחקנים בענף ואת מעמדם כמתחרים עצמאיים, ולרוב, אינו מיועד לשמש מוקד רווח נפרד, ובכל אופן, לא מוקד רווח משמעותי.</w:t>
      </w:r>
      <w:r w:rsidRPr="00802D72">
        <w:rPr>
          <w:rStyle w:val="FootnoteReference"/>
          <w:rtl/>
        </w:rPr>
        <w:footnoteReference w:id="4"/>
      </w:r>
      <w:r w:rsidRPr="00802D72">
        <w:rPr>
          <w:rFonts w:hint="cs"/>
          <w:rtl/>
        </w:rPr>
        <w:t xml:space="preserve"> על איגוד עסקי הפועל באופן עצמאי בזירת התחרות עשויים לחול גם דיני המיזמים המשותפים.</w:t>
      </w:r>
      <w:r w:rsidRPr="00802D72">
        <w:rPr>
          <w:rStyle w:val="FootnoteReference"/>
          <w:rtl/>
        </w:rPr>
        <w:footnoteReference w:id="5"/>
      </w:r>
      <w:r w:rsidRPr="00802D72">
        <w:rPr>
          <w:rFonts w:hint="cs"/>
          <w:rtl/>
        </w:rPr>
        <w:t xml:space="preserve"> </w:t>
      </w:r>
    </w:p>
    <w:p w14:paraId="503A77C2" w14:textId="77777777" w:rsidR="00802D72" w:rsidRPr="00802D72" w:rsidRDefault="00802D72" w:rsidP="00802D72">
      <w:pPr>
        <w:spacing w:before="100" w:beforeAutospacing="1"/>
        <w:rPr>
          <w:rFonts w:cs="Times New Roman"/>
          <w:b/>
          <w:bCs/>
        </w:rPr>
      </w:pPr>
      <w:r w:rsidRPr="00802D72">
        <w:rPr>
          <w:rFonts w:hint="cs"/>
          <w:b/>
          <w:bCs/>
          <w:rtl/>
        </w:rPr>
        <w:lastRenderedPageBreak/>
        <w:t>פעילות האיגוד העסקי</w:t>
      </w:r>
    </w:p>
    <w:p w14:paraId="6E112B22" w14:textId="77777777" w:rsidR="00802D72" w:rsidRPr="00802D72" w:rsidRDefault="00802D72" w:rsidP="00802D72">
      <w:pPr>
        <w:pStyle w:val="ListParagraph"/>
        <w:numPr>
          <w:ilvl w:val="0"/>
          <w:numId w:val="23"/>
        </w:numPr>
        <w:spacing w:before="120"/>
        <w:rPr>
          <w:rtl/>
        </w:rPr>
      </w:pPr>
      <w:r w:rsidRPr="00802D72">
        <w:rPr>
          <w:rFonts w:hint="cs"/>
          <w:rtl/>
        </w:rPr>
        <w:t>ככלל, החבירה באיגוד עסקי מאפשרת לרתום את הידע והניסיון המקצועי של המשתתפים לטובת שיפור הענף והגדלת הביקוש לסוגי המוצרים או השירותים המוצעים על ידי הפועלים בענף.</w:t>
      </w:r>
      <w:r w:rsidRPr="00802D72">
        <w:rPr>
          <w:rStyle w:val="FootnoteReference"/>
          <w:rtl/>
        </w:rPr>
        <w:footnoteReference w:id="6"/>
      </w:r>
      <w:r w:rsidRPr="00802D72">
        <w:rPr>
          <w:rFonts w:hint="cs"/>
          <w:rtl/>
        </w:rPr>
        <w:t xml:space="preserve"> פעילות לגיטימית של האיגוד, שאינה מכוונת לפגיעה בתחרות ושאינה עלולה למנוע או להפחית את התחרות, עשויה להביא ברכה לענף. כך באשר לפעולות של האיגוד שיש בהן משום הוזלת עלויות השגת מידע מקצועי, קביעת סטנדרטים העשויים לקדם יעילות, איכות ובטיחות, קביעת נוהלי התנהגות ראויה וכללי אתיקה לטובת הענף והצרכנים, קידום ספרות מקצועית, ייצוג הענף מול רשויות שונות ומול הציבור ועוד ובתנאי שאין בהן כדי לפגוע בתחרות.</w:t>
      </w:r>
    </w:p>
    <w:p w14:paraId="23B0B981" w14:textId="77777777" w:rsidR="00802D72" w:rsidRPr="00802D72" w:rsidRDefault="00802D72" w:rsidP="00802D72">
      <w:pPr>
        <w:pStyle w:val="ListParagraph"/>
        <w:numPr>
          <w:ilvl w:val="0"/>
          <w:numId w:val="23"/>
        </w:numPr>
        <w:spacing w:before="100" w:beforeAutospacing="1" w:after="100" w:afterAutospacing="1"/>
        <w:rPr>
          <w:rtl/>
        </w:rPr>
      </w:pPr>
      <w:r w:rsidRPr="00802D72">
        <w:rPr>
          <w:rFonts w:hint="cs"/>
          <w:rtl/>
        </w:rPr>
        <w:t xml:space="preserve">אכן, איגודים עסקיים רבים פועלים לקידום הענף ולתועלת הענף והציבור. רבים בתוך אותם ארגונים ממלאים תפקידם באמונה ובמסירות לקידום אותה תכלית ומבלי שדבק בהם רבב כוונה לפגוע בתחרות. מבלי להקל ראש בצדדים החיוביים של פעילות איגודים עסקיים ומבלי להפחית מטוהר כוונותיהם של הפועלים במסגרתם, אין מנוס מלהידרש גם לצדה האחר של פעילות האיגודים העסקיים העלולה להביא לפגיעה בתחרות. </w:t>
      </w:r>
    </w:p>
    <w:p w14:paraId="4DC950F8" w14:textId="77777777" w:rsidR="00802D72" w:rsidRPr="00802D72" w:rsidRDefault="00802D72" w:rsidP="00802D72">
      <w:pPr>
        <w:pStyle w:val="ListParagraph"/>
        <w:numPr>
          <w:ilvl w:val="0"/>
          <w:numId w:val="23"/>
        </w:numPr>
        <w:spacing w:before="100" w:beforeAutospacing="1" w:after="100" w:afterAutospacing="1"/>
      </w:pPr>
      <w:r w:rsidRPr="00802D72">
        <w:rPr>
          <w:rFonts w:hint="cs"/>
          <w:rtl/>
        </w:rPr>
        <w:t xml:space="preserve">בצד הברכה העשויה לצמוח מפעילותם, באיגודים העסקיים טמון חשש של ממש בהיבט התחרות. חבירת מתחרים לישיבה משותפת או לפעולה משותפת, מעוררת, מעצם טיבה, חשש, כי אותם מתחרים </w:t>
      </w:r>
      <w:r w:rsidRPr="00802D72">
        <w:rPr>
          <w:rFonts w:hint="cs"/>
          <w:rtl/>
        </w:rPr>
        <w:lastRenderedPageBreak/>
        <w:t>יפעלו באופן הפוגע בתחרות, בין בכוונה ובין אגב קידום תכלית אחרת, שיכולה להיות לגיטימית כשלעצמה. לפעילות באיגוד עלולה להיות השפעה שלילית על התחרות גם בענפי פעילות נוספים, שבהם פועלים חברים באיגוד.</w:t>
      </w:r>
    </w:p>
    <w:p w14:paraId="3F342265" w14:textId="77777777" w:rsidR="00802D72" w:rsidRPr="00802D72" w:rsidRDefault="00802D72" w:rsidP="00802D72">
      <w:pPr>
        <w:pStyle w:val="ListParagraph"/>
        <w:numPr>
          <w:ilvl w:val="0"/>
          <w:numId w:val="23"/>
        </w:numPr>
        <w:spacing w:before="100" w:beforeAutospacing="1" w:after="100" w:afterAutospacing="1"/>
      </w:pPr>
      <w:r w:rsidRPr="00802D72">
        <w:rPr>
          <w:rFonts w:hint="cs"/>
          <w:rtl/>
        </w:rPr>
        <w:t>החששות הנובעים מחבירת מתחרים במסגרת איגוד עסקי מתפרשים על קשת רחבה. חשש ראשון במעלה, הינו כי האיגוד העסקי ישמש מסווה לפעילות מתואמת במסגרת קרטל או יקבע או ימליץ לחבריו על קו פעולה העלול למנוע או להפחית את התחרות. ישיבות האיגוד, המערך הלוגיסטי שלו והמידע המוחזק על ידיו עלולים להקל על התיאום, הפיקוח והאכיפה הקרטליסטיים. לא בכדי נמצא, כי "ההיסטוריה של דיני התחרות בישראל הוכיחה כי איגודים עסקיים נטלו חלק פעיל ברבים מהקרטלים החמורים שנתגלו במשק".</w:t>
      </w:r>
      <w:r w:rsidRPr="00802D72">
        <w:rPr>
          <w:rStyle w:val="FootnoteReference"/>
          <w:rtl/>
        </w:rPr>
        <w:footnoteReference w:id="7"/>
      </w:r>
      <w:r w:rsidRPr="00802D72">
        <w:rPr>
          <w:rFonts w:hint="cs"/>
          <w:rtl/>
        </w:rPr>
        <w:t xml:space="preserve"> </w:t>
      </w:r>
    </w:p>
    <w:p w14:paraId="4E185089" w14:textId="77777777" w:rsidR="00802D72" w:rsidRPr="00802D72" w:rsidRDefault="00802D72" w:rsidP="00802D72">
      <w:pPr>
        <w:pStyle w:val="ListParagraph"/>
        <w:numPr>
          <w:ilvl w:val="0"/>
          <w:numId w:val="23"/>
        </w:numPr>
        <w:spacing w:before="100" w:beforeAutospacing="1" w:after="100" w:afterAutospacing="1"/>
      </w:pPr>
      <w:r w:rsidRPr="00802D72">
        <w:rPr>
          <w:rFonts w:hint="cs"/>
          <w:rtl/>
        </w:rPr>
        <w:t>במסגרת התנהלות האיגוד עשויים להתפתח יחסי קרבה או עניין משותף בין מתחרים אשר אפשר כי יביאו לצינון היריבות והלהט התחרותי ביניהם וכן יחסי כפיפות או תלות של מתחרה מסוים במתחרה אחר.</w:t>
      </w:r>
      <w:r w:rsidRPr="00802D72">
        <w:rPr>
          <w:rStyle w:val="FootnoteReference"/>
          <w:rtl/>
        </w:rPr>
        <w:footnoteReference w:id="8"/>
      </w:r>
      <w:r w:rsidRPr="00802D72">
        <w:rPr>
          <w:rFonts w:hint="cs"/>
          <w:rtl/>
        </w:rPr>
        <w:t xml:space="preserve"> סביב השולחן המשותף עשויים מתחרים להחליף ביניהם מידע רגיש מבחינה תחרותית ולגשר על פערי מידע ביניהם וכך להביא לפגיעה בתחרות. </w:t>
      </w:r>
    </w:p>
    <w:p w14:paraId="15D67B6D" w14:textId="77777777" w:rsidR="00802D72" w:rsidRPr="00802D72" w:rsidRDefault="00802D72" w:rsidP="00802D72">
      <w:pPr>
        <w:pStyle w:val="ListParagraph"/>
        <w:numPr>
          <w:ilvl w:val="0"/>
          <w:numId w:val="23"/>
        </w:numPr>
        <w:tabs>
          <w:tab w:val="clear" w:pos="720"/>
          <w:tab w:val="left" w:pos="752"/>
        </w:tabs>
        <w:spacing w:before="100" w:beforeAutospacing="1" w:after="100" w:afterAutospacing="1"/>
        <w:rPr>
          <w:rtl/>
        </w:rPr>
      </w:pPr>
      <w:r w:rsidRPr="00802D72">
        <w:rPr>
          <w:rFonts w:hint="cs"/>
          <w:rtl/>
        </w:rPr>
        <w:t xml:space="preserve">איגוד עסקי עלול לשמש פלטפורמה להחרמת מתחרים, ספקים או צרכנים, להערמת חסמים על דרכם של שחקנים חדשים בענף ולדיכוי התמריץ של החברים בשוק להתרחב או לפתח מוצרים ושירותים משופרים או מגוונים. איגוד עסקי עלול להתערב ביחסים </w:t>
      </w:r>
      <w:r w:rsidRPr="00802D72">
        <w:rPr>
          <w:rFonts w:hint="cs"/>
          <w:rtl/>
        </w:rPr>
        <w:lastRenderedPageBreak/>
        <w:t xml:space="preserve">עסקיים או בסכסוך מסחרי בין אחד מחבריו לבין ספק או לקוח שלו, ולהצר את צעדיו של אותו ספק או לקוח שלא כדין. </w:t>
      </w:r>
      <w:r w:rsidRPr="00802D72">
        <w:rPr>
          <w:rFonts w:hint="eastAsia"/>
          <w:rtl/>
        </w:rPr>
        <w:t>איגוד</w:t>
      </w:r>
      <w:r w:rsidRPr="00802D72">
        <w:rPr>
          <w:rtl/>
        </w:rPr>
        <w:t xml:space="preserve"> </w:t>
      </w:r>
      <w:r w:rsidRPr="00802D72">
        <w:rPr>
          <w:rFonts w:hint="eastAsia"/>
          <w:rtl/>
        </w:rPr>
        <w:t>עסקי</w:t>
      </w:r>
      <w:r w:rsidRPr="00802D72">
        <w:rPr>
          <w:rtl/>
        </w:rPr>
        <w:t xml:space="preserve"> </w:t>
      </w:r>
      <w:r w:rsidRPr="00802D72">
        <w:rPr>
          <w:rFonts w:hint="eastAsia"/>
          <w:rtl/>
        </w:rPr>
        <w:t>עלול</w:t>
      </w:r>
      <w:r w:rsidRPr="00802D72">
        <w:rPr>
          <w:rtl/>
        </w:rPr>
        <w:t xml:space="preserve"> </w:t>
      </w:r>
      <w:r w:rsidRPr="00802D72">
        <w:rPr>
          <w:rFonts w:hint="eastAsia"/>
          <w:rtl/>
        </w:rPr>
        <w:t>לפעול</w:t>
      </w:r>
      <w:r w:rsidRPr="00802D72">
        <w:rPr>
          <w:rtl/>
        </w:rPr>
        <w:t xml:space="preserve"> </w:t>
      </w:r>
      <w:r w:rsidRPr="00802D72">
        <w:rPr>
          <w:rFonts w:hint="eastAsia"/>
          <w:rtl/>
        </w:rPr>
        <w:t>להגבלת</w:t>
      </w:r>
      <w:r w:rsidRPr="00802D72">
        <w:rPr>
          <w:rtl/>
        </w:rPr>
        <w:t xml:space="preserve"> </w:t>
      </w:r>
      <w:r w:rsidRPr="00802D72">
        <w:rPr>
          <w:rFonts w:hint="eastAsia"/>
          <w:rtl/>
        </w:rPr>
        <w:t>התחרות</w:t>
      </w:r>
      <w:r w:rsidRPr="00802D72">
        <w:rPr>
          <w:rtl/>
        </w:rPr>
        <w:t xml:space="preserve"> </w:t>
      </w:r>
      <w:r w:rsidRPr="00802D72">
        <w:rPr>
          <w:rFonts w:hint="eastAsia"/>
          <w:rtl/>
        </w:rPr>
        <w:t>בין</w:t>
      </w:r>
      <w:r w:rsidRPr="00802D72">
        <w:rPr>
          <w:rtl/>
        </w:rPr>
        <w:t xml:space="preserve"> </w:t>
      </w:r>
      <w:r w:rsidRPr="00802D72">
        <w:rPr>
          <w:rFonts w:hint="eastAsia"/>
          <w:rtl/>
        </w:rPr>
        <w:t>מתחרים</w:t>
      </w:r>
      <w:r w:rsidRPr="00802D72">
        <w:rPr>
          <w:rtl/>
        </w:rPr>
        <w:t xml:space="preserve"> </w:t>
      </w:r>
      <w:r w:rsidRPr="00802D72">
        <w:rPr>
          <w:rFonts w:hint="eastAsia"/>
          <w:rtl/>
        </w:rPr>
        <w:t>על</w:t>
      </w:r>
      <w:r w:rsidRPr="00802D72">
        <w:rPr>
          <w:rtl/>
        </w:rPr>
        <w:t xml:space="preserve"> </w:t>
      </w:r>
      <w:r w:rsidRPr="00802D72">
        <w:rPr>
          <w:rFonts w:hint="eastAsia"/>
          <w:rtl/>
        </w:rPr>
        <w:t>עובדיהם</w:t>
      </w:r>
      <w:r w:rsidRPr="00802D72">
        <w:rPr>
          <w:rtl/>
        </w:rPr>
        <w:t>.</w:t>
      </w:r>
      <w:r w:rsidRPr="00802D72">
        <w:rPr>
          <w:rStyle w:val="FootnoteReference"/>
          <w:rtl/>
        </w:rPr>
        <w:footnoteReference w:id="9"/>
      </w:r>
      <w:r w:rsidRPr="00802D72">
        <w:rPr>
          <w:rFonts w:hint="cs"/>
          <w:rtl/>
        </w:rPr>
        <w:t xml:space="preserve"> האיגוד העסקי עלול לפעול גם למניעת התפתחות תחרות לאיגוד עצמו. רשימה זו אינה מקיפה, ככל הנראה, את כל החששות העלולים  להתעורר בעטיה של חבירת מתחרים באיגוד עסקי, הכל לפי נסיבות המקרה. </w:t>
      </w:r>
    </w:p>
    <w:p w14:paraId="6049CE66" w14:textId="77777777" w:rsidR="00802D72" w:rsidRPr="00802D72" w:rsidRDefault="00802D72" w:rsidP="00802D72">
      <w:pPr>
        <w:pStyle w:val="ListParagraph"/>
        <w:numPr>
          <w:ilvl w:val="0"/>
          <w:numId w:val="23"/>
        </w:numPr>
        <w:tabs>
          <w:tab w:val="clear" w:pos="720"/>
          <w:tab w:val="left" w:pos="752"/>
        </w:tabs>
        <w:spacing w:before="100" w:beforeAutospacing="1" w:after="100" w:afterAutospacing="1"/>
        <w:rPr>
          <w:rtl/>
        </w:rPr>
      </w:pPr>
      <w:r w:rsidRPr="00802D72">
        <w:rPr>
          <w:rFonts w:hint="cs"/>
          <w:rtl/>
        </w:rPr>
        <w:t xml:space="preserve">פוטנציאל  הפגיעה של האיגוד העסקי עשוי להתבטא בדרכים רבות, כגון הוראה או המלצה ובכלל זה המלצה </w:t>
      </w:r>
      <w:r w:rsidR="003E394B" w:rsidRPr="00802D72">
        <w:rPr>
          <w:rFonts w:hint="cs"/>
          <w:rtl/>
        </w:rPr>
        <w:t>המתיימר</w:t>
      </w:r>
      <w:r w:rsidR="003E394B" w:rsidRPr="00802D72">
        <w:rPr>
          <w:rFonts w:hint="eastAsia"/>
          <w:rtl/>
        </w:rPr>
        <w:t>ת</w:t>
      </w:r>
      <w:r w:rsidRPr="00802D72">
        <w:rPr>
          <w:rFonts w:hint="cs"/>
          <w:rtl/>
        </w:rPr>
        <w:t xml:space="preserve"> להיות בלתי מחייבת. הפחתת תחרות בעטיו של איגוד עסקי יכולה להתבטא גם בתנאי החברות באיגוד, בקוד ההתנהגות שהוא מבקש להנהיג בענף, בסטנדרטים מקצועיים ואתיים שבאחריותו, במידע שהוא אוסף או מבקש להפיץ בין חבריו ועוד. התנהלות אסורה עלולה להתקיים בין ביוזמת האיגוד או במעורבותו הישירה ובין כאשר האיגוד משמש פלטפורמה המקלה על יצירת הסדר בין עוסקים. </w:t>
      </w:r>
      <w:r w:rsidRPr="00802D72">
        <w:rPr>
          <w:rFonts w:hint="eastAsia"/>
          <w:rtl/>
        </w:rPr>
        <w:t>התנהלות</w:t>
      </w:r>
      <w:r w:rsidRPr="00802D72">
        <w:rPr>
          <w:rtl/>
        </w:rPr>
        <w:t xml:space="preserve"> </w:t>
      </w:r>
      <w:r w:rsidRPr="00802D72">
        <w:rPr>
          <w:rFonts w:hint="eastAsia"/>
          <w:rtl/>
        </w:rPr>
        <w:t>אסורה</w:t>
      </w:r>
      <w:r w:rsidRPr="00802D72">
        <w:rPr>
          <w:rtl/>
        </w:rPr>
        <w:t xml:space="preserve"> </w:t>
      </w:r>
      <w:r w:rsidRPr="00802D72">
        <w:rPr>
          <w:rFonts w:hint="eastAsia"/>
          <w:rtl/>
        </w:rPr>
        <w:t>עלולה</w:t>
      </w:r>
      <w:r w:rsidRPr="00802D72">
        <w:rPr>
          <w:rtl/>
        </w:rPr>
        <w:t xml:space="preserve"> </w:t>
      </w:r>
      <w:r w:rsidRPr="00802D72">
        <w:rPr>
          <w:rFonts w:hint="eastAsia"/>
          <w:rtl/>
        </w:rPr>
        <w:t>להתקיים</w:t>
      </w:r>
      <w:r w:rsidRPr="00802D72">
        <w:rPr>
          <w:rtl/>
        </w:rPr>
        <w:t xml:space="preserve"> </w:t>
      </w:r>
      <w:r w:rsidRPr="00802D72">
        <w:rPr>
          <w:rFonts w:hint="eastAsia"/>
          <w:rtl/>
        </w:rPr>
        <w:t>אף</w:t>
      </w:r>
      <w:r w:rsidRPr="00802D72">
        <w:rPr>
          <w:rtl/>
        </w:rPr>
        <w:t xml:space="preserve"> </w:t>
      </w:r>
      <w:r w:rsidRPr="00802D72">
        <w:rPr>
          <w:rFonts w:hint="eastAsia"/>
          <w:rtl/>
        </w:rPr>
        <w:t>במסגרת</w:t>
      </w:r>
      <w:r w:rsidRPr="00802D72">
        <w:rPr>
          <w:rtl/>
        </w:rPr>
        <w:t xml:space="preserve"> </w:t>
      </w:r>
      <w:r w:rsidRPr="00802D72">
        <w:rPr>
          <w:rFonts w:hint="eastAsia"/>
          <w:rtl/>
        </w:rPr>
        <w:t>מאבק</w:t>
      </w:r>
      <w:r w:rsidRPr="00802D72">
        <w:rPr>
          <w:rtl/>
        </w:rPr>
        <w:t xml:space="preserve"> </w:t>
      </w:r>
      <w:r w:rsidRPr="00802D72">
        <w:rPr>
          <w:rFonts w:hint="eastAsia"/>
          <w:rtl/>
        </w:rPr>
        <w:t>ציבורי</w:t>
      </w:r>
      <w:r w:rsidRPr="00802D72">
        <w:rPr>
          <w:rtl/>
        </w:rPr>
        <w:t xml:space="preserve"> </w:t>
      </w:r>
      <w:r w:rsidRPr="00802D72">
        <w:rPr>
          <w:rFonts w:hint="eastAsia"/>
          <w:rtl/>
        </w:rPr>
        <w:t>בעל</w:t>
      </w:r>
      <w:r w:rsidRPr="00802D72">
        <w:rPr>
          <w:rtl/>
        </w:rPr>
        <w:t xml:space="preserve"> </w:t>
      </w:r>
      <w:r w:rsidRPr="00802D72">
        <w:rPr>
          <w:rFonts w:hint="eastAsia"/>
          <w:rtl/>
        </w:rPr>
        <w:t>מטרות</w:t>
      </w:r>
      <w:r w:rsidRPr="00802D72">
        <w:rPr>
          <w:rtl/>
        </w:rPr>
        <w:t xml:space="preserve"> </w:t>
      </w:r>
      <w:r w:rsidRPr="00802D72">
        <w:rPr>
          <w:rFonts w:hint="eastAsia"/>
          <w:rtl/>
        </w:rPr>
        <w:t>לגיטימיות</w:t>
      </w:r>
      <w:r w:rsidRPr="00802D72">
        <w:rPr>
          <w:rtl/>
        </w:rPr>
        <w:t xml:space="preserve"> </w:t>
      </w:r>
      <w:r w:rsidRPr="00802D72">
        <w:rPr>
          <w:rFonts w:hint="eastAsia"/>
          <w:rtl/>
        </w:rPr>
        <w:t>אותו</w:t>
      </w:r>
      <w:r w:rsidRPr="00802D72">
        <w:rPr>
          <w:rtl/>
        </w:rPr>
        <w:t xml:space="preserve"> </w:t>
      </w:r>
      <w:r w:rsidRPr="00802D72">
        <w:rPr>
          <w:rFonts w:hint="eastAsia"/>
          <w:rtl/>
        </w:rPr>
        <w:t>מוביל</w:t>
      </w:r>
      <w:r w:rsidRPr="00802D72">
        <w:rPr>
          <w:rtl/>
        </w:rPr>
        <w:t xml:space="preserve"> </w:t>
      </w:r>
      <w:r w:rsidRPr="00802D72">
        <w:rPr>
          <w:rFonts w:hint="eastAsia"/>
          <w:rtl/>
        </w:rPr>
        <w:t>האיגוד</w:t>
      </w:r>
      <w:r w:rsidRPr="00802D72">
        <w:rPr>
          <w:rtl/>
        </w:rPr>
        <w:t>.</w:t>
      </w:r>
      <w:r w:rsidRPr="00802D72">
        <w:rPr>
          <w:rStyle w:val="FootnoteReference"/>
          <w:rtl/>
        </w:rPr>
        <w:footnoteReference w:id="10"/>
      </w:r>
    </w:p>
    <w:bookmarkEnd w:id="1"/>
    <w:p w14:paraId="0A801C0A" w14:textId="77777777" w:rsidR="00802D72" w:rsidRPr="00802D72" w:rsidRDefault="00802D72" w:rsidP="00802D72">
      <w:pPr>
        <w:pStyle w:val="Heading1"/>
        <w:keepNext w:val="0"/>
        <w:keepLines w:val="0"/>
        <w:numPr>
          <w:ilvl w:val="0"/>
          <w:numId w:val="22"/>
        </w:numPr>
        <w:spacing w:before="120" w:after="120"/>
        <w:ind w:left="714" w:hanging="357"/>
        <w:jc w:val="left"/>
        <w:rPr>
          <w:b w:val="0"/>
          <w:bCs w:val="0"/>
          <w:rtl/>
        </w:rPr>
      </w:pPr>
      <w:r w:rsidRPr="00802D72">
        <w:rPr>
          <w:rFonts w:eastAsia="Times New Roman" w:cs="David" w:hint="eastAsia"/>
          <w:sz w:val="24"/>
          <w:szCs w:val="24"/>
          <w:rtl/>
        </w:rPr>
        <w:t>על</w:t>
      </w:r>
      <w:r w:rsidRPr="00802D72">
        <w:rPr>
          <w:rFonts w:eastAsia="Times New Roman" w:cs="David"/>
          <w:sz w:val="24"/>
          <w:szCs w:val="24"/>
          <w:rtl/>
        </w:rPr>
        <w:t xml:space="preserve"> </w:t>
      </w:r>
      <w:r w:rsidRPr="00802D72">
        <w:rPr>
          <w:rFonts w:eastAsia="Times New Roman" w:cs="David" w:hint="eastAsia"/>
          <w:sz w:val="24"/>
          <w:szCs w:val="24"/>
          <w:rtl/>
        </w:rPr>
        <w:t>קו</w:t>
      </w:r>
      <w:r w:rsidRPr="00802D72">
        <w:rPr>
          <w:rFonts w:eastAsia="Times New Roman" w:cs="David"/>
          <w:sz w:val="24"/>
          <w:szCs w:val="24"/>
          <w:rtl/>
        </w:rPr>
        <w:t xml:space="preserve"> </w:t>
      </w:r>
      <w:r w:rsidRPr="00802D72">
        <w:rPr>
          <w:rFonts w:eastAsia="Times New Roman" w:cs="David" w:hint="eastAsia"/>
          <w:sz w:val="24"/>
          <w:szCs w:val="24"/>
          <w:rtl/>
        </w:rPr>
        <w:t>פעולה</w:t>
      </w:r>
      <w:r w:rsidRPr="00802D72">
        <w:rPr>
          <w:rFonts w:eastAsia="Times New Roman" w:cs="David"/>
          <w:sz w:val="24"/>
          <w:szCs w:val="24"/>
          <w:rtl/>
        </w:rPr>
        <w:t xml:space="preserve"> </w:t>
      </w:r>
      <w:r w:rsidRPr="00802D72">
        <w:rPr>
          <w:rFonts w:eastAsia="Times New Roman" w:cs="David" w:hint="eastAsia"/>
          <w:sz w:val="24"/>
          <w:szCs w:val="24"/>
          <w:rtl/>
        </w:rPr>
        <w:t>והסדר</w:t>
      </w:r>
      <w:r w:rsidRPr="00802D72">
        <w:rPr>
          <w:rFonts w:eastAsia="Times New Roman" w:cs="David"/>
          <w:sz w:val="24"/>
          <w:szCs w:val="24"/>
          <w:rtl/>
        </w:rPr>
        <w:t xml:space="preserve"> </w:t>
      </w:r>
      <w:r w:rsidRPr="00802D72">
        <w:rPr>
          <w:rFonts w:eastAsia="Times New Roman" w:cs="David" w:hint="eastAsia"/>
          <w:sz w:val="24"/>
          <w:szCs w:val="24"/>
          <w:rtl/>
        </w:rPr>
        <w:t>כובל</w:t>
      </w:r>
    </w:p>
    <w:p w14:paraId="6FC05E35" w14:textId="77777777" w:rsidR="00802D72" w:rsidRPr="00802D72" w:rsidRDefault="00802D72" w:rsidP="00802D72">
      <w:pPr>
        <w:pStyle w:val="ListParagraph"/>
        <w:numPr>
          <w:ilvl w:val="0"/>
          <w:numId w:val="23"/>
        </w:numPr>
        <w:spacing w:before="120"/>
        <w:ind w:left="714" w:hanging="357"/>
        <w:rPr>
          <w:color w:val="000000"/>
          <w:rtl/>
        </w:rPr>
      </w:pPr>
      <w:r w:rsidRPr="00802D72">
        <w:rPr>
          <w:rFonts w:hint="cs"/>
          <w:rtl/>
        </w:rPr>
        <w:t xml:space="preserve">התנהלות האיגוד העסקי וחברים בו עשויה לעלות כדי הסדר כובל אסור. נוכח אופיו המיוחד של האיגוד העסקי מצא המחוקק לנכון שלא להסתפק בהגדרה הכללית של הסדר כובל, אלא ראה לנכון להוסיף הוראה מיוחדת שעניינה קביעת קו פעולה בידי איגוד עסקי. </w:t>
      </w:r>
      <w:r w:rsidRPr="00802D72">
        <w:rPr>
          <w:rFonts w:hint="cs"/>
          <w:color w:val="000000"/>
          <w:rtl/>
        </w:rPr>
        <w:t xml:space="preserve">סעיף 5 לחוק קובע: </w:t>
      </w:r>
    </w:p>
    <w:p w14:paraId="41EB0865" w14:textId="77777777" w:rsidR="00802D72" w:rsidRPr="00802D72" w:rsidRDefault="00802D72" w:rsidP="0042483B">
      <w:pPr>
        <w:spacing w:before="120" w:line="276" w:lineRule="auto"/>
        <w:ind w:left="1440" w:right="624"/>
        <w:rPr>
          <w:color w:val="000000"/>
        </w:rPr>
      </w:pPr>
      <w:r w:rsidRPr="00802D72">
        <w:rPr>
          <w:rFonts w:hint="cs"/>
          <w:color w:val="000000"/>
          <w:rtl/>
        </w:rPr>
        <w:lastRenderedPageBreak/>
        <w:t xml:space="preserve">"קו פעולה שקבע איגוד עסקי לחבריו או חלקם העלול למנוע או להפחית תחרות בעסקים ביניהם, או קו פעולה כאמור שהמליץ עליו לפניהם, יראו כהסדר כובל כאמור בסעיף 2, ואת האיגוד העסקי וכל אחד מחבריו הפועל על פיו כצד להסדר כובל." </w:t>
      </w:r>
    </w:p>
    <w:p w14:paraId="70ADEF51" w14:textId="77777777" w:rsidR="00802D72" w:rsidRPr="00802D72" w:rsidRDefault="00802D72" w:rsidP="00802D72">
      <w:pPr>
        <w:pStyle w:val="ListParagraph"/>
        <w:numPr>
          <w:ilvl w:val="0"/>
          <w:numId w:val="23"/>
        </w:numPr>
        <w:spacing w:before="120"/>
        <w:ind w:left="697" w:hanging="357"/>
      </w:pPr>
      <w:r w:rsidRPr="00802D72">
        <w:rPr>
          <w:rFonts w:hint="cs"/>
          <w:rtl/>
        </w:rPr>
        <w:t xml:space="preserve">על תכלית סעיף 5 עמד בית המשפט העליון בעניין </w:t>
      </w:r>
      <w:r w:rsidRPr="003E394B">
        <w:rPr>
          <w:rFonts w:hint="cs"/>
          <w:b/>
          <w:bCs/>
          <w:rtl/>
        </w:rPr>
        <w:t>בורוביץ'</w:t>
      </w:r>
      <w:r w:rsidRPr="00802D72">
        <w:rPr>
          <w:rFonts w:hint="cs"/>
          <w:rtl/>
        </w:rPr>
        <w:t xml:space="preserve"> (הדגשה הוספה):</w:t>
      </w:r>
    </w:p>
    <w:p w14:paraId="5BC2F474" w14:textId="77777777" w:rsidR="00802D72" w:rsidRPr="0042483B" w:rsidRDefault="00802D72" w:rsidP="0042483B">
      <w:pPr>
        <w:spacing w:before="120" w:line="276" w:lineRule="auto"/>
        <w:ind w:left="1440" w:right="624"/>
        <w:rPr>
          <w:color w:val="000000"/>
          <w:vertAlign w:val="superscript"/>
          <w:rtl/>
        </w:rPr>
      </w:pPr>
      <w:r w:rsidRPr="0042483B">
        <w:rPr>
          <w:rFonts w:hint="cs"/>
          <w:color w:val="000000"/>
          <w:rtl/>
        </w:rPr>
        <w:t xml:space="preserve">"תכליתו של סעיף 5 לחוק ההגבלים, לתפיסתנו, היא להתמודד עם מצב שבו התחרות החופשית בענף מסוים נפגעת כתוצאה מפעילותו של איגוד עסקי שממליץ "המלצות" לחבריו והללו נוהגים לפיהן. במצב זה עשוי להיות קושי בהטלת אחריות על חברי האיגוד לפי עבירת ההסדר הכובל הקבועה בסעיף 4 לחוק. קושי זה נובע מכך שייתכן מצב שבו חבר באיגוד העסקי פעל לפי קו הפעולה שהומלץ על-ידי האיגוד ושעלול לפגוע בתחרות, אולם ללא שמתקיימים לגביו כל יסודות עבירת ההסדר הכובל ...  </w:t>
      </w:r>
      <w:r w:rsidRPr="0042483B">
        <w:rPr>
          <w:rFonts w:hint="cs"/>
          <w:b/>
          <w:bCs/>
          <w:color w:val="000000"/>
          <w:rtl/>
        </w:rPr>
        <w:t>סעיף 5 לחוק נועד לאפשר את הטלתה של אחריות פלילית על אדם כזה (ואף על האיגוד העסקי עצמו). על-כן הוא קובע כי יש לראות בקו הפעולה שהומלץ (או נקבע) על-ידי האיגוד כהסדר כובל ובחבר האיגוד שנהג לפיו כצד להסדר הכובל.</w:t>
      </w:r>
      <w:r w:rsidRPr="0042483B">
        <w:rPr>
          <w:rFonts w:hint="cs"/>
          <w:color w:val="000000"/>
          <w:rtl/>
        </w:rPr>
        <w:t xml:space="preserve"> לעומת זאת כאשר עסקינן באדם שאין קושי להוכיח את היותו "צד" להסדר כובל, אין קיימת שום הצדקה שייהנה מהגנה כלשהי מפני הטלת אחריות פלילית רק מפני שביצע את פעולותיו במסגרתו של איגוד עסקי. לפיכך אין כל מניעה להרשיע חבר באיגוד עסקי בעבירת ההסדר הכובל ה"רגילה" אם מתקיימים לגביו כל היסודות הדרושים לשכלול העבירה." </w:t>
      </w:r>
      <w:r w:rsidRPr="0042483B">
        <w:rPr>
          <w:color w:val="000000"/>
          <w:vertAlign w:val="superscript"/>
          <w:rtl/>
        </w:rPr>
        <w:footnoteReference w:id="11"/>
      </w:r>
    </w:p>
    <w:p w14:paraId="6128F40F" w14:textId="77777777" w:rsidR="00802D72" w:rsidRPr="00802D72" w:rsidRDefault="00802D72" w:rsidP="00802D72">
      <w:pPr>
        <w:pStyle w:val="ListParagraph"/>
        <w:numPr>
          <w:ilvl w:val="0"/>
          <w:numId w:val="23"/>
        </w:numPr>
        <w:spacing w:after="0"/>
        <w:ind w:left="697" w:hanging="357"/>
        <w:rPr>
          <w:rtl/>
        </w:rPr>
      </w:pPr>
      <w:r w:rsidRPr="00802D72">
        <w:rPr>
          <w:rFonts w:hint="cs"/>
          <w:rtl/>
        </w:rPr>
        <w:lastRenderedPageBreak/>
        <w:t xml:space="preserve">כאשר מתקיימים יסודות עבירת ההסדר הכובל, אין במסגרת האיגוד העסקי כדי למלט את הצדדים להסדר הכובל מאחריות לחלקם בו. כאשר מדובר בקו פעולה שהאיגוד קבע או המליץ, בלא הסדר ספציפי, תחול הוראת ס' 5, קו הפעולה ייראה כהסדר כובל, והאיגוד וכל אחד מחבריו שפעל על פי קו הפעולה ייראה כצד להסדר כובל כאמור בסעיף 2 לחוק. יובהר, כי עבירת קו פעולה עלולה להתקיים גם מקום בו איש מחברי האיגוד לא נהג על פיה או טרם הספיק לנהוג על פיה. </w:t>
      </w:r>
    </w:p>
    <w:p w14:paraId="7B27CF31" w14:textId="77777777" w:rsidR="00802D72" w:rsidRPr="00802D72" w:rsidRDefault="00802D72" w:rsidP="00802D72">
      <w:pPr>
        <w:pStyle w:val="ListParagraph"/>
        <w:numPr>
          <w:ilvl w:val="0"/>
          <w:numId w:val="23"/>
        </w:numPr>
        <w:spacing w:before="100" w:beforeAutospacing="1" w:after="100" w:afterAutospacing="1"/>
        <w:ind w:left="700"/>
        <w:rPr>
          <w:rtl/>
        </w:rPr>
      </w:pPr>
      <w:r w:rsidRPr="00802D72">
        <w:rPr>
          <w:rFonts w:hint="cs"/>
          <w:rtl/>
        </w:rPr>
        <w:t>עמדה זו עולה בקנה אחד עם תכלית הסעיף, החלת האיסור על הסדרים כובלים גם על פעולות מתואמות העלולות לפגוע בתחרות, שמקורן באיגוד העסקי גם מבלי שיהווה הסדר עצמאי בין מנהלי עסקים</w:t>
      </w:r>
      <w:r w:rsidRPr="00802D72">
        <w:rPr>
          <w:rStyle w:val="FootnoteReference"/>
          <w:rtl/>
        </w:rPr>
        <w:footnoteReference w:id="12"/>
      </w:r>
      <w:r w:rsidRPr="00802D72">
        <w:rPr>
          <w:rFonts w:hint="cs"/>
          <w:rtl/>
        </w:rPr>
        <w:t xml:space="preserve"> ואיסור על הגבלת שיקול דעתם העסקי העצמאי של מנהלי העסקים או על ניסיון להכווין את פעילותם או לתאם ביניהם בשדה התחרות.</w:t>
      </w:r>
      <w:r w:rsidRPr="00802D72">
        <w:rPr>
          <w:rStyle w:val="FootnoteReference"/>
        </w:rPr>
        <w:footnoteReference w:id="13"/>
      </w:r>
      <w:r w:rsidRPr="00802D72">
        <w:rPr>
          <w:rFonts w:hint="cs"/>
          <w:rtl/>
        </w:rPr>
        <w:t xml:space="preserve"> </w:t>
      </w:r>
    </w:p>
    <w:p w14:paraId="414492A5" w14:textId="77777777" w:rsidR="00802D72" w:rsidRPr="00802D72" w:rsidRDefault="00802D72" w:rsidP="003E394B">
      <w:pPr>
        <w:pStyle w:val="ListParagraph"/>
        <w:numPr>
          <w:ilvl w:val="0"/>
          <w:numId w:val="23"/>
        </w:numPr>
        <w:spacing w:before="100" w:beforeAutospacing="1" w:after="100" w:afterAutospacing="1"/>
        <w:ind w:left="697" w:hanging="357"/>
      </w:pPr>
      <w:r w:rsidRPr="00802D72">
        <w:rPr>
          <w:rFonts w:hint="cs"/>
          <w:rtl/>
        </w:rPr>
        <w:t xml:space="preserve">כך באשר להסדר הנכנס לגדרי ס' 2(א) לחוק וכך באשר להסדר הנכנס לגדרי סעיף 2(ב) לחוק, שעניינו הסדר שבו הכבילה נוגעת למחיר שיידרש, יוצע או ישולם, לרווח שיופק, לחלוקת השוק או לכמות הנכסים או השירותים, איכותם או סוגם. חזקת העלילות להפחתת התחרות בהסדרים המנויים בסעיף קטן (ב) תחול על קו פעולה כעל כל הסדר אחר בין מנהלי עסקים. הדברים התחדדו בפסק הדין בעניין </w:t>
      </w:r>
      <w:r w:rsidRPr="00802D72">
        <w:rPr>
          <w:rFonts w:hint="cs"/>
          <w:b/>
          <w:bCs/>
          <w:rtl/>
        </w:rPr>
        <w:t>שוהם:</w:t>
      </w:r>
      <w:r w:rsidRPr="00802D72">
        <w:rPr>
          <w:rStyle w:val="FootnoteReference"/>
          <w:rFonts w:hint="cs"/>
          <w:rtl/>
        </w:rPr>
        <w:t xml:space="preserve"> </w:t>
      </w:r>
      <w:r w:rsidRPr="00802D72">
        <w:rPr>
          <w:rStyle w:val="FootnoteReference"/>
          <w:rtl/>
        </w:rPr>
        <w:footnoteReference w:id="14"/>
      </w:r>
      <w:r w:rsidRPr="00802D72">
        <w:rPr>
          <w:rStyle w:val="FootnoteReference"/>
          <w:rFonts w:hint="cs"/>
          <w:rtl/>
        </w:rPr>
        <w:t xml:space="preserve"> </w:t>
      </w:r>
    </w:p>
    <w:p w14:paraId="7EBAA9EA" w14:textId="77777777" w:rsidR="00802D72" w:rsidRPr="00802D72" w:rsidRDefault="00802D72" w:rsidP="003E394B">
      <w:pPr>
        <w:spacing w:line="276" w:lineRule="auto"/>
        <w:ind w:left="1418" w:right="624"/>
        <w:rPr>
          <w:rtl/>
        </w:rPr>
      </w:pPr>
      <w:r w:rsidRPr="00802D72">
        <w:rPr>
          <w:rFonts w:hint="cs"/>
          <w:rtl/>
        </w:rPr>
        <w:lastRenderedPageBreak/>
        <w:t>"סעיף 5 נועד להרחיב את תחולת החוק למצבים המפורטים בו, אשר אינם נופלים לגדר המונח "הסדר" אך מבחינה מהותית קיים בהם פוטנציאל משמעותי לפגיעה בתחרות דומה לזה שבהסדר... הוראת סעיף 5 משקפת את התובנה, כי באיגוד עסקי קיים, מעצם טיבם של הדברים, פוטנציאל משמועתי לפגיעה בתחרות. איגוד כאמור מקל ומאפשר החלפה שוטפת של מידע ומסרים. כתוצאה מכך, הוא מקל על פעולה מתואמת בין מתחרים. הפוטנציאל האנטי תחרותי הטמון באיגוד כזה, אינו נופל ואפשר שאף עולה, מזה הטמון בעריכת הסדר, במובנו הנזכר לעיל. לכן, מקום בו איגוד עסקי מוציא לחבריו המלצה, בכל הנוגע לקביעת המחיר על ידיהם, יש הצדקה מלאה להחיל את החזקות החלוטות הקבועות בסעיף 2(ב) לחוק..."</w:t>
      </w:r>
    </w:p>
    <w:p w14:paraId="5A157E60" w14:textId="77777777" w:rsidR="00802D72" w:rsidRPr="00802D72" w:rsidRDefault="00802D72" w:rsidP="00F96471">
      <w:pPr>
        <w:pStyle w:val="ListParagraph"/>
        <w:numPr>
          <w:ilvl w:val="0"/>
          <w:numId w:val="23"/>
        </w:numPr>
        <w:spacing w:before="100" w:beforeAutospacing="1" w:after="100" w:afterAutospacing="1"/>
        <w:ind w:left="700"/>
        <w:rPr>
          <w:rFonts w:ascii="Times New Roman" w:hAnsi="Times New Roman"/>
        </w:rPr>
      </w:pPr>
      <w:r w:rsidRPr="00802D72">
        <w:rPr>
          <w:rFonts w:hint="cs"/>
          <w:rtl/>
        </w:rPr>
        <w:t>קו פעולה עשוי לבוא לידי ביטוי בצורת הוראה מחייבת כלפי חברי האיגוד, המלווה בסנקציות או  בצורה "רכה" יותר על דרך המלצה</w:t>
      </w:r>
      <w:r w:rsidR="003E394B">
        <w:rPr>
          <w:rFonts w:hint="cs"/>
          <w:rtl/>
        </w:rPr>
        <w:t>,</w:t>
      </w:r>
      <w:r w:rsidRPr="00802D72">
        <w:rPr>
          <w:rStyle w:val="FootnoteReference"/>
          <w:rtl/>
        </w:rPr>
        <w:footnoteReference w:id="15"/>
      </w:r>
      <w:r w:rsidRPr="00802D72">
        <w:rPr>
          <w:rFonts w:hint="cs"/>
          <w:rtl/>
        </w:rPr>
        <w:t xml:space="preserve"> הדרכה, הצעה או הכוונה, המותירות את ההחלטה הסופית כיצד לפעול לשיקול דעת כל אחד מחברי האיגוד. המבחן הינו קיומו של מסר ביחס לקו הפעולה הנדון .</w:t>
      </w:r>
      <w:r w:rsidRPr="00802D72">
        <w:rPr>
          <w:rStyle w:val="FootnoteReference"/>
          <w:rtl/>
        </w:rPr>
        <w:footnoteReference w:id="16"/>
      </w:r>
      <w:r w:rsidRPr="00802D72">
        <w:rPr>
          <w:rFonts w:hint="cs"/>
          <w:rtl/>
        </w:rPr>
        <w:t xml:space="preserve"> קו פעולה עשוי להתבטא בהוראה בתקנון האיגוד או בכל מסמך יסוד אחר של </w:t>
      </w:r>
      <w:r w:rsidRPr="00802D72">
        <w:rPr>
          <w:rFonts w:hint="cs"/>
          <w:rtl/>
        </w:rPr>
        <w:lastRenderedPageBreak/>
        <w:t>האיגוד, בהפצת מסמך בין החברים,</w:t>
      </w:r>
      <w:r w:rsidRPr="00802D72">
        <w:rPr>
          <w:rStyle w:val="FootnoteReference"/>
          <w:rtl/>
        </w:rPr>
        <w:footnoteReference w:id="17"/>
      </w:r>
      <w:r w:rsidRPr="00802D72">
        <w:rPr>
          <w:rFonts w:hint="cs"/>
          <w:rtl/>
        </w:rPr>
        <w:t xml:space="preserve"> או בדברי שבח להתנהלות מן העבר שהיוותה הסדר כובל, שמובלעות בה המלצה או רמיזה, כי יש לנהוג באופן דומה.</w:t>
      </w:r>
      <w:r w:rsidRPr="00802D72">
        <w:rPr>
          <w:rStyle w:val="FootnoteReference"/>
          <w:rtl/>
        </w:rPr>
        <w:footnoteReference w:id="18"/>
      </w:r>
      <w:r w:rsidRPr="00802D72">
        <w:rPr>
          <w:rFonts w:hint="cs"/>
          <w:rtl/>
        </w:rPr>
        <w:t xml:space="preserve"> קו פעולה יכול להתקיים בהמלצה או הוראה שלא לפעול, כגון כאשר האיגוד קורא לחבריו שלא להשתתף במכרז או ממליץ להם שלא להתקשר עם ספק, לקוח או מתחרה כלשהו או לסייג או להתנות השתתפותם.</w:t>
      </w:r>
      <w:r w:rsidRPr="00802D72">
        <w:rPr>
          <w:rStyle w:val="FootnoteReference"/>
          <w:rtl/>
        </w:rPr>
        <w:footnoteReference w:id="19"/>
      </w:r>
      <w:r w:rsidRPr="00802D72">
        <w:rPr>
          <w:rFonts w:hint="cs"/>
          <w:rtl/>
        </w:rPr>
        <w:t xml:space="preserve"> </w:t>
      </w:r>
      <w:r w:rsidRPr="00802D72">
        <w:rPr>
          <w:rFonts w:hint="eastAsia"/>
          <w:rtl/>
        </w:rPr>
        <w:t>כמו</w:t>
      </w:r>
      <w:r w:rsidRPr="00802D72">
        <w:rPr>
          <w:rtl/>
        </w:rPr>
        <w:t xml:space="preserve"> </w:t>
      </w:r>
      <w:r w:rsidRPr="00802D72">
        <w:rPr>
          <w:rFonts w:hint="eastAsia"/>
          <w:rtl/>
        </w:rPr>
        <w:t>כן</w:t>
      </w:r>
      <w:r w:rsidRPr="00802D72">
        <w:rPr>
          <w:rtl/>
        </w:rPr>
        <w:t xml:space="preserve"> </w:t>
      </w:r>
      <w:r w:rsidRPr="00802D72">
        <w:rPr>
          <w:rFonts w:hint="eastAsia"/>
          <w:rtl/>
        </w:rPr>
        <w:t>קו</w:t>
      </w:r>
      <w:r w:rsidRPr="00802D72">
        <w:rPr>
          <w:rtl/>
        </w:rPr>
        <w:t xml:space="preserve"> </w:t>
      </w:r>
      <w:r w:rsidRPr="00802D72">
        <w:rPr>
          <w:rFonts w:hint="eastAsia"/>
          <w:rtl/>
        </w:rPr>
        <w:t>פעולה</w:t>
      </w:r>
      <w:r w:rsidRPr="00802D72">
        <w:rPr>
          <w:rtl/>
        </w:rPr>
        <w:t xml:space="preserve"> </w:t>
      </w:r>
      <w:r w:rsidRPr="00802D72">
        <w:rPr>
          <w:rFonts w:hint="eastAsia"/>
          <w:rtl/>
        </w:rPr>
        <w:t>עלול</w:t>
      </w:r>
      <w:r w:rsidRPr="00802D72">
        <w:rPr>
          <w:rtl/>
        </w:rPr>
        <w:t xml:space="preserve"> </w:t>
      </w:r>
      <w:r w:rsidRPr="00802D72">
        <w:rPr>
          <w:rFonts w:hint="eastAsia"/>
          <w:rtl/>
        </w:rPr>
        <w:t>להתקיים</w:t>
      </w:r>
      <w:r w:rsidRPr="00802D72">
        <w:rPr>
          <w:rtl/>
        </w:rPr>
        <w:t xml:space="preserve"> </w:t>
      </w:r>
      <w:r w:rsidRPr="00802D72">
        <w:rPr>
          <w:rFonts w:hint="eastAsia"/>
          <w:rtl/>
        </w:rPr>
        <w:t>במסגרת</w:t>
      </w:r>
      <w:r w:rsidRPr="00802D72">
        <w:rPr>
          <w:rtl/>
        </w:rPr>
        <w:t xml:space="preserve"> </w:t>
      </w:r>
      <w:r w:rsidRPr="00802D72">
        <w:rPr>
          <w:rFonts w:hint="eastAsia"/>
          <w:rtl/>
        </w:rPr>
        <w:t>הליכים</w:t>
      </w:r>
      <w:r w:rsidRPr="00802D72">
        <w:rPr>
          <w:rtl/>
        </w:rPr>
        <w:t xml:space="preserve"> </w:t>
      </w:r>
      <w:r w:rsidRPr="00802D72">
        <w:rPr>
          <w:rFonts w:hint="eastAsia"/>
          <w:rtl/>
        </w:rPr>
        <w:t>משפטיים</w:t>
      </w:r>
      <w:r w:rsidRPr="00802D72">
        <w:rPr>
          <w:rtl/>
        </w:rPr>
        <w:t xml:space="preserve"> </w:t>
      </w:r>
      <w:r w:rsidRPr="00802D72">
        <w:rPr>
          <w:rFonts w:hint="eastAsia"/>
          <w:rtl/>
        </w:rPr>
        <w:t>המנוהלים</w:t>
      </w:r>
      <w:r w:rsidRPr="00802D72">
        <w:rPr>
          <w:rtl/>
        </w:rPr>
        <w:t xml:space="preserve"> </w:t>
      </w:r>
      <w:r w:rsidRPr="00802D72">
        <w:rPr>
          <w:rFonts w:hint="eastAsia"/>
          <w:rtl/>
        </w:rPr>
        <w:t>על</w:t>
      </w:r>
      <w:r w:rsidRPr="00802D72">
        <w:rPr>
          <w:rtl/>
        </w:rPr>
        <w:t xml:space="preserve"> </w:t>
      </w:r>
      <w:r w:rsidRPr="00802D72">
        <w:rPr>
          <w:rFonts w:hint="eastAsia"/>
          <w:rtl/>
        </w:rPr>
        <w:t>ידי</w:t>
      </w:r>
      <w:r w:rsidRPr="00802D72">
        <w:rPr>
          <w:rtl/>
        </w:rPr>
        <w:t xml:space="preserve"> </w:t>
      </w:r>
      <w:r w:rsidRPr="00802D72">
        <w:rPr>
          <w:rFonts w:hint="eastAsia"/>
          <w:rtl/>
        </w:rPr>
        <w:t>האיגוד</w:t>
      </w:r>
      <w:r w:rsidRPr="00802D72">
        <w:rPr>
          <w:rtl/>
        </w:rPr>
        <w:t xml:space="preserve"> </w:t>
      </w:r>
      <w:r w:rsidRPr="00802D72">
        <w:rPr>
          <w:rFonts w:hint="eastAsia"/>
          <w:rtl/>
        </w:rPr>
        <w:t>בשם</w:t>
      </w:r>
      <w:r w:rsidRPr="00802D72">
        <w:rPr>
          <w:rtl/>
        </w:rPr>
        <w:t xml:space="preserve"> </w:t>
      </w:r>
      <w:r w:rsidRPr="00802D72">
        <w:rPr>
          <w:rFonts w:hint="eastAsia"/>
          <w:rtl/>
        </w:rPr>
        <w:t>חבריו</w:t>
      </w:r>
      <w:r w:rsidRPr="00802D72">
        <w:rPr>
          <w:rFonts w:hint="cs"/>
          <w:rtl/>
        </w:rPr>
        <w:t>.</w:t>
      </w:r>
      <w:r w:rsidRPr="00802D72">
        <w:rPr>
          <w:rStyle w:val="FootnoteReference"/>
          <w:rtl/>
        </w:rPr>
        <w:footnoteReference w:id="20"/>
      </w:r>
      <w:r w:rsidRPr="00802D72">
        <w:rPr>
          <w:rFonts w:hint="cs"/>
          <w:rtl/>
        </w:rPr>
        <w:t xml:space="preserve"> עצם ניהולו של הליך משפטי בידי איגוד עסקי כמי שמייצג את האינטרסים של חבריו אינו פסול כשלעצמו, אך יש להיזהר שאגב קיומו של הליך משפטי שכזה או הכנות הקשורות אליו לא יגלוש האיגוד העסקי, חבריו או האורגנים שלו להמלצה על קו פעולה או להעברת מידע תחרותי רגיש, אשר יקימו חשש לפגיעה בתחרות. </w:t>
      </w:r>
      <w:r w:rsidRPr="00802D72">
        <w:rPr>
          <w:rFonts w:hint="cs"/>
          <w:vertAlign w:val="superscript"/>
          <w:rtl/>
        </w:rPr>
        <w:t xml:space="preserve"> </w:t>
      </w:r>
      <w:r w:rsidR="00F96471">
        <w:rPr>
          <w:rFonts w:hint="cs"/>
          <w:rtl/>
        </w:rPr>
        <w:t xml:space="preserve">השתכללות הפרת חוק של </w:t>
      </w:r>
      <w:r w:rsidRPr="00802D72">
        <w:rPr>
          <w:rFonts w:hint="cs"/>
          <w:rtl/>
        </w:rPr>
        <w:t>קו הפעולה אינ</w:t>
      </w:r>
      <w:r w:rsidR="00F96471">
        <w:rPr>
          <w:rFonts w:hint="cs"/>
          <w:rtl/>
        </w:rPr>
        <w:t xml:space="preserve">ה </w:t>
      </w:r>
      <w:r w:rsidRPr="00802D72">
        <w:rPr>
          <w:rFonts w:hint="cs"/>
          <w:rtl/>
        </w:rPr>
        <w:t>תלוי</w:t>
      </w:r>
      <w:r w:rsidR="00F96471">
        <w:rPr>
          <w:rFonts w:hint="cs"/>
          <w:rtl/>
        </w:rPr>
        <w:t>ה</w:t>
      </w:r>
      <w:r w:rsidRPr="00802D72">
        <w:rPr>
          <w:rFonts w:hint="cs"/>
          <w:rtl/>
        </w:rPr>
        <w:t xml:space="preserve"> בכך שח</w:t>
      </w:r>
      <w:r w:rsidR="00F96471">
        <w:rPr>
          <w:rFonts w:hint="cs"/>
          <w:rtl/>
        </w:rPr>
        <w:t>ברי האיגוד או חלקם פועלים על פי קו הפעולה</w:t>
      </w:r>
      <w:r w:rsidRPr="00802D72">
        <w:rPr>
          <w:rFonts w:hint="cs"/>
          <w:rtl/>
        </w:rPr>
        <w:t xml:space="preserve">, אלא </w:t>
      </w:r>
      <w:r w:rsidR="00F96471">
        <w:rPr>
          <w:rFonts w:hint="cs"/>
          <w:rtl/>
        </w:rPr>
        <w:t xml:space="preserve">די </w:t>
      </w:r>
      <w:r w:rsidRPr="00802D72">
        <w:rPr>
          <w:rFonts w:hint="cs"/>
          <w:rtl/>
        </w:rPr>
        <w:t>בפוטנציאל הפגיעה שלו בתחרות.</w:t>
      </w:r>
    </w:p>
    <w:p w14:paraId="059E1932" w14:textId="77777777" w:rsidR="00802D72" w:rsidRPr="00AE04C0" w:rsidRDefault="00802D72" w:rsidP="00AE04C0">
      <w:pPr>
        <w:pStyle w:val="Heading1"/>
        <w:keepNext w:val="0"/>
        <w:keepLines w:val="0"/>
        <w:numPr>
          <w:ilvl w:val="0"/>
          <w:numId w:val="22"/>
        </w:numPr>
        <w:spacing w:before="120" w:after="120"/>
        <w:ind w:left="714" w:hanging="357"/>
        <w:jc w:val="left"/>
        <w:rPr>
          <w:rFonts w:cs="David"/>
          <w:b w:val="0"/>
          <w:bCs w:val="0"/>
          <w:sz w:val="24"/>
          <w:szCs w:val="24"/>
        </w:rPr>
      </w:pPr>
      <w:r w:rsidRPr="00AE04C0">
        <w:rPr>
          <w:rFonts w:cs="David" w:hint="cs"/>
          <w:sz w:val="24"/>
          <w:szCs w:val="24"/>
          <w:rtl/>
        </w:rPr>
        <w:t>כללים מנחים להתאגדות באיגוד עסקי ולהתנהלותו</w:t>
      </w:r>
    </w:p>
    <w:p w14:paraId="1D39515B" w14:textId="77777777" w:rsidR="00802D72" w:rsidRPr="00802D72" w:rsidRDefault="00802D72" w:rsidP="00802D72">
      <w:pPr>
        <w:pStyle w:val="ListParagraph"/>
        <w:numPr>
          <w:ilvl w:val="0"/>
          <w:numId w:val="23"/>
        </w:numPr>
        <w:tabs>
          <w:tab w:val="left" w:pos="32"/>
        </w:tabs>
        <w:spacing w:after="0"/>
        <w:ind w:hanging="686"/>
        <w:rPr>
          <w:u w:val="single"/>
          <w:rtl/>
        </w:rPr>
      </w:pPr>
      <w:r w:rsidRPr="00802D72">
        <w:rPr>
          <w:rFonts w:hint="cs"/>
          <w:rtl/>
        </w:rPr>
        <w:t xml:space="preserve">נוכח החששות הטבועים בעצם קיומו של איגוד עסקי ובפעולותיו, על האיגוד הרוצה להבטיח כי הפעילות במסגרתו לא תביא להפרת החוק ולא תעודד אותה, להבהיר לחברים בו את האיסור על פעילות </w:t>
      </w:r>
      <w:r w:rsidRPr="00802D72">
        <w:rPr>
          <w:rFonts w:hint="cs"/>
          <w:rtl/>
        </w:rPr>
        <w:lastRenderedPageBreak/>
        <w:t>העולה כדי קו פעולה או הסדר כובל ולעשות את כל הדרוש באופן סביר למנוע שימוש במוסדותיו, במתקניו, בפורומים מטעמו או בחסותו (לרבות כנסים מקצועיים ואחרים, סדנאות, פורומים אינטרנטיים, כתבי עת וכיו"ב), באופן שיביא לפגיעה בתחרות. על האיגוד העסקי להקפיד הקפדה יתירה לא רק במעשיו אלא גם בהתבטאויות קולקטיביות היוצאות מטעמו, במיוחד כאשר מדובר בהתייחסות לפעילות שעל פניה היא פוגעת בתחרות.</w:t>
      </w:r>
      <w:r w:rsidRPr="00802D72">
        <w:rPr>
          <w:rStyle w:val="FootnoteReference"/>
          <w:rtl/>
        </w:rPr>
        <w:footnoteReference w:id="21"/>
      </w:r>
      <w:r w:rsidRPr="00802D72">
        <w:rPr>
          <w:rFonts w:hint="cs"/>
          <w:u w:val="single"/>
          <w:rtl/>
        </w:rPr>
        <w:t xml:space="preserve"> </w:t>
      </w:r>
    </w:p>
    <w:p w14:paraId="3AF2E0C2" w14:textId="77777777" w:rsidR="00802D72" w:rsidRPr="00802D72" w:rsidRDefault="00802D72" w:rsidP="00ED11B7">
      <w:pPr>
        <w:pStyle w:val="ListParagraph"/>
        <w:numPr>
          <w:ilvl w:val="0"/>
          <w:numId w:val="23"/>
        </w:numPr>
        <w:tabs>
          <w:tab w:val="left" w:pos="32"/>
        </w:tabs>
        <w:spacing w:before="100" w:beforeAutospacing="1" w:after="100" w:afterAutospacing="1"/>
        <w:ind w:hanging="688"/>
        <w:rPr>
          <w:u w:val="single"/>
          <w:rtl/>
        </w:rPr>
      </w:pPr>
      <w:r w:rsidRPr="00802D72">
        <w:rPr>
          <w:rFonts w:hint="cs"/>
          <w:rtl/>
        </w:rPr>
        <w:t xml:space="preserve">להלן מספר כללים אשר יסייעו בידי האיגוד, חבריו וממלאי התפקידים בו לנהל את </w:t>
      </w:r>
      <w:r w:rsidR="00CA5719">
        <w:rPr>
          <w:rFonts w:hint="cs"/>
          <w:rtl/>
        </w:rPr>
        <w:t>פעילות האיגוד בלא להפר את דיני התחרות</w:t>
      </w:r>
      <w:r w:rsidRPr="00802D72">
        <w:rPr>
          <w:rFonts w:hint="cs"/>
          <w:rtl/>
        </w:rPr>
        <w:t xml:space="preserve">. אין מדובר בהוראות מחייבות, אלא בהמלצות שליקטה </w:t>
      </w:r>
      <w:r w:rsidR="00ED11B7">
        <w:rPr>
          <w:rFonts w:hint="cs"/>
          <w:rtl/>
        </w:rPr>
        <w:t>רשות התחרות</w:t>
      </w:r>
      <w:r w:rsidRPr="00802D72">
        <w:rPr>
          <w:rFonts w:hint="cs"/>
          <w:rtl/>
        </w:rPr>
        <w:t xml:space="preserve"> לאור ניסיונה בתחום, אשר הליכה על פיהן תקטין במידה משמעותית את הסכנה שבהפרת חוק </w:t>
      </w:r>
      <w:r w:rsidR="00CA5719">
        <w:rPr>
          <w:rFonts w:hint="cs"/>
          <w:rtl/>
        </w:rPr>
        <w:t>התחרות</w:t>
      </w:r>
      <w:r w:rsidRPr="00802D72">
        <w:rPr>
          <w:rFonts w:hint="cs"/>
          <w:rtl/>
        </w:rPr>
        <w:t xml:space="preserve"> אגב פעילות האיגוד. כללים אלה יפים, בשינויים המחויבים, גם לחבירת מתחרים שאינה מתכנה "איגוד עסקי", לרבות חבירת מתחרים אד הוק.</w:t>
      </w:r>
      <w:r w:rsidRPr="00802D72">
        <w:rPr>
          <w:rFonts w:hint="cs"/>
          <w:u w:val="single"/>
          <w:rtl/>
        </w:rPr>
        <w:t xml:space="preserve"> </w:t>
      </w:r>
    </w:p>
    <w:p w14:paraId="12A53E02" w14:textId="77777777" w:rsidR="00802D72" w:rsidRPr="00802D72" w:rsidRDefault="00802D72" w:rsidP="00802D72">
      <w:pPr>
        <w:tabs>
          <w:tab w:val="left" w:pos="32"/>
        </w:tabs>
        <w:ind w:left="32"/>
        <w:rPr>
          <w:u w:val="single"/>
        </w:rPr>
      </w:pPr>
      <w:r w:rsidRPr="00802D72">
        <w:rPr>
          <w:rFonts w:hint="cs"/>
          <w:u w:val="single"/>
          <w:rtl/>
        </w:rPr>
        <w:t>הגדרות</w:t>
      </w:r>
    </w:p>
    <w:p w14:paraId="684889CC" w14:textId="77777777" w:rsidR="00802D72" w:rsidRPr="00802D72" w:rsidRDefault="00802D72" w:rsidP="00802D72">
      <w:pPr>
        <w:pStyle w:val="ListParagraph"/>
        <w:numPr>
          <w:ilvl w:val="0"/>
          <w:numId w:val="23"/>
        </w:numPr>
        <w:tabs>
          <w:tab w:val="left" w:pos="32"/>
        </w:tabs>
        <w:spacing w:after="0"/>
        <w:ind w:hanging="688"/>
        <w:rPr>
          <w:rtl/>
        </w:rPr>
      </w:pPr>
      <w:r w:rsidRPr="00802D72">
        <w:rPr>
          <w:rFonts w:hint="cs"/>
          <w:rtl/>
        </w:rPr>
        <w:t xml:space="preserve">במסמך זה: </w:t>
      </w:r>
    </w:p>
    <w:p w14:paraId="41DB445B" w14:textId="77777777" w:rsidR="00802D72" w:rsidRPr="00802D72" w:rsidRDefault="00802D72" w:rsidP="00802D72">
      <w:pPr>
        <w:pStyle w:val="ListParagraph"/>
        <w:tabs>
          <w:tab w:val="left" w:pos="32"/>
        </w:tabs>
      </w:pPr>
      <w:r w:rsidRPr="00802D72">
        <w:rPr>
          <w:rFonts w:hint="cs"/>
          <w:rtl/>
        </w:rPr>
        <w:t>"</w:t>
      </w:r>
      <w:r w:rsidRPr="00802D72">
        <w:rPr>
          <w:rFonts w:hint="cs"/>
          <w:b/>
          <w:bCs/>
          <w:rtl/>
        </w:rPr>
        <w:t>ישיבה</w:t>
      </w:r>
      <w:r w:rsidRPr="00802D72">
        <w:rPr>
          <w:rFonts w:hint="cs"/>
          <w:rtl/>
        </w:rPr>
        <w:t>" – לרבות שיחות ועידה, ישיבות באמצעות וידאו או כל אמצעי תקשורת אחר המחבר בין המשתתפים.</w:t>
      </w:r>
    </w:p>
    <w:p w14:paraId="13DA2A75" w14:textId="77777777" w:rsidR="00802D72" w:rsidRPr="00802D72" w:rsidRDefault="00802D72" w:rsidP="00802D72">
      <w:pPr>
        <w:pStyle w:val="ListParagraph"/>
        <w:tabs>
          <w:tab w:val="left" w:pos="32"/>
        </w:tabs>
      </w:pPr>
      <w:r w:rsidRPr="00802D72">
        <w:rPr>
          <w:rFonts w:hint="cs"/>
          <w:rtl/>
        </w:rPr>
        <w:t>"</w:t>
      </w:r>
      <w:r w:rsidRPr="00802D72">
        <w:rPr>
          <w:rFonts w:hint="cs"/>
          <w:b/>
          <w:bCs/>
          <w:rtl/>
        </w:rPr>
        <w:t>מידע רגיש מבחינה תחרותית</w:t>
      </w:r>
      <w:r w:rsidRPr="00802D72">
        <w:rPr>
          <w:rFonts w:hint="cs"/>
          <w:rtl/>
        </w:rPr>
        <w:t xml:space="preserve">" - מידע שאינו פומבי או שאינו ניתן לזיהוי או איתור בקלות יחסית, אשר אם ייוודע למתחרה עסקי של בעל המידע יגביר את יכולתו של אותו מתחרה לצפות מראש את אסטרטגיית המחיר והייצור ואת תגובתו הצפויה של בעל המידע </w:t>
      </w:r>
      <w:r w:rsidRPr="00802D72">
        <w:rPr>
          <w:rFonts w:hint="cs"/>
          <w:rtl/>
        </w:rPr>
        <w:lastRenderedPageBreak/>
        <w:t>ליוזמות מחיר וכמות מצד אותו מתחרה, והכל בהתאם לנסיבות הקונקרטיות.</w:t>
      </w:r>
      <w:r w:rsidRPr="00802D72">
        <w:rPr>
          <w:rStyle w:val="FootnoteReference"/>
          <w:rtl/>
        </w:rPr>
        <w:footnoteReference w:id="22"/>
      </w:r>
    </w:p>
    <w:p w14:paraId="339B845A" w14:textId="77777777" w:rsidR="00802D72" w:rsidRPr="00802D72" w:rsidRDefault="00802D72" w:rsidP="00802D72">
      <w:pPr>
        <w:tabs>
          <w:tab w:val="left" w:pos="32"/>
        </w:tabs>
        <w:spacing w:after="100" w:afterAutospacing="1"/>
        <w:rPr>
          <w:u w:val="single"/>
          <w:rtl/>
        </w:rPr>
      </w:pPr>
      <w:r w:rsidRPr="00802D72">
        <w:rPr>
          <w:rFonts w:hint="cs"/>
          <w:rtl/>
        </w:rPr>
        <w:t xml:space="preserve">(א) </w:t>
      </w:r>
      <w:r w:rsidRPr="00802D72">
        <w:rPr>
          <w:rFonts w:hint="cs"/>
          <w:u w:val="single"/>
          <w:rtl/>
        </w:rPr>
        <w:t>ישיבות האיגוד ומפגשים אחרים בין מתחרים</w:t>
      </w:r>
    </w:p>
    <w:p w14:paraId="70312CDC" w14:textId="77777777" w:rsidR="00802D72" w:rsidRPr="00802D72" w:rsidRDefault="00802D72" w:rsidP="00802D72">
      <w:pPr>
        <w:pStyle w:val="ListParagraph"/>
        <w:numPr>
          <w:ilvl w:val="0"/>
          <w:numId w:val="23"/>
        </w:numPr>
        <w:tabs>
          <w:tab w:val="left" w:pos="32"/>
        </w:tabs>
        <w:spacing w:before="120" w:after="0"/>
        <w:ind w:hanging="686"/>
        <w:rPr>
          <w:rtl/>
        </w:rPr>
      </w:pPr>
      <w:r w:rsidRPr="00802D72">
        <w:rPr>
          <w:rFonts w:hint="cs"/>
          <w:rtl/>
        </w:rPr>
        <w:t xml:space="preserve">חבירת מתחרים סביב שולחן אחד, ממשי או רעיוני, מעוררת חששות במישור התיאום ובמישור חשיפת מידע ו"מישוש הדופק" בין המתחרים. היא עלולה אף להמריץ את המשתתפים לפנות לאפיקי פעולה כגון החרמה קולקטיבית. לפיכך, על האיגוד העסקי ועל המשתתפים לנקוט הקפדה יתירה בהתנהלות הישיבה ובהתנהלותם שלהם במהלכה. </w:t>
      </w:r>
    </w:p>
    <w:p w14:paraId="2992EEA8" w14:textId="77777777" w:rsidR="00802D72" w:rsidRPr="00802D72" w:rsidRDefault="00802D72" w:rsidP="00802D72">
      <w:pPr>
        <w:pStyle w:val="ListParagraph"/>
        <w:numPr>
          <w:ilvl w:val="0"/>
          <w:numId w:val="23"/>
        </w:numPr>
        <w:tabs>
          <w:tab w:val="left" w:pos="32"/>
        </w:tabs>
        <w:spacing w:before="100" w:beforeAutospacing="1" w:after="100" w:afterAutospacing="1"/>
        <w:ind w:hanging="688"/>
        <w:rPr>
          <w:rtl/>
        </w:rPr>
      </w:pPr>
      <w:r w:rsidRPr="00802D72">
        <w:rPr>
          <w:rFonts w:hint="cs"/>
          <w:rtl/>
        </w:rPr>
        <w:t xml:space="preserve">ישיבת האיגוד העסקי וכל ישיבה אחרת המאורגנת על ידי האיגוד העסקי או מתנהלת מטעמו, במסגרתו או בין כתליו, אשר מיוצגים בה גופים מתחרים, תתנהל באופן הבא: </w:t>
      </w:r>
    </w:p>
    <w:p w14:paraId="04DA6AE4" w14:textId="77777777" w:rsidR="00B6093D" w:rsidRPr="00B6093D" w:rsidRDefault="00802D72" w:rsidP="00B6093D">
      <w:pPr>
        <w:pStyle w:val="ListParagraph"/>
        <w:numPr>
          <w:ilvl w:val="0"/>
          <w:numId w:val="26"/>
        </w:numPr>
        <w:spacing w:before="120"/>
        <w:rPr>
          <w:vertAlign w:val="superscript"/>
        </w:rPr>
      </w:pPr>
      <w:r w:rsidRPr="00802D72">
        <w:rPr>
          <w:rFonts w:hint="cs"/>
          <w:rtl/>
        </w:rPr>
        <w:t>בישיבה לא יידונו, במישרין, בעקיפין או במרומז, עניינים רגישים מבחינה תחרותית ולא ייחשף מידע רגיש מבחינה תחרותית, לרבות במסגרת חומר הכנה לישיבה, ניירות עבודה, מצגות וכיו"ב</w:t>
      </w:r>
      <w:r w:rsidRPr="003E394B">
        <w:rPr>
          <w:rFonts w:hint="cs"/>
          <w:rtl/>
        </w:rPr>
        <w:t>.</w:t>
      </w:r>
      <w:r w:rsidRPr="003E394B">
        <w:rPr>
          <w:vertAlign w:val="superscript"/>
        </w:rPr>
        <w:footnoteReference w:id="23"/>
      </w:r>
    </w:p>
    <w:p w14:paraId="4A4367B9" w14:textId="77777777" w:rsidR="00B6093D" w:rsidRPr="00B6093D" w:rsidRDefault="00802D72" w:rsidP="00ED11B7">
      <w:pPr>
        <w:pStyle w:val="ListParagraph"/>
        <w:numPr>
          <w:ilvl w:val="0"/>
          <w:numId w:val="26"/>
        </w:numPr>
        <w:spacing w:before="120"/>
        <w:rPr>
          <w:vertAlign w:val="superscript"/>
        </w:rPr>
      </w:pPr>
      <w:r w:rsidRPr="00802D72">
        <w:rPr>
          <w:rFonts w:hint="cs"/>
          <w:rtl/>
        </w:rPr>
        <w:t>רשימה מפורטת של עניינים לדיון תיקבע ותובא לידיעת המשתתפים בטרם הדיון. הרשימה לא תכלול עניינים רגישים מבחינה תחרותית</w:t>
      </w:r>
      <w:r w:rsidR="00ED11B7">
        <w:rPr>
          <w:rFonts w:hint="cs"/>
          <w:rtl/>
        </w:rPr>
        <w:t>.</w:t>
      </w:r>
    </w:p>
    <w:p w14:paraId="16EEF535" w14:textId="77777777" w:rsidR="00B6093D" w:rsidRPr="00B6093D" w:rsidRDefault="00802D72" w:rsidP="00B6093D">
      <w:pPr>
        <w:pStyle w:val="ListParagraph"/>
        <w:numPr>
          <w:ilvl w:val="0"/>
          <w:numId w:val="26"/>
        </w:numPr>
        <w:spacing w:before="120"/>
        <w:rPr>
          <w:vertAlign w:val="superscript"/>
        </w:rPr>
      </w:pPr>
      <w:r w:rsidRPr="00802D72">
        <w:rPr>
          <w:rFonts w:hint="cs"/>
          <w:rtl/>
        </w:rPr>
        <w:t xml:space="preserve">יו"ר הישיבה או מי מטעמו יבהיר עם תחילת הישיבה, כי על הנוכחים להימנע מלדון בעניין רגיש מבחינה תחרותית ומלחשוף מידע רגיש מבחינה תחרותית ויבהיר להם כי חשיפת מידע כאמור או קיומו של דיון בעניין רגיש מבחינה </w:t>
      </w:r>
      <w:r w:rsidRPr="00802D72">
        <w:rPr>
          <w:rFonts w:hint="cs"/>
          <w:rtl/>
        </w:rPr>
        <w:lastRenderedPageBreak/>
        <w:t>תחרותית, עלולים להוות הסדר כובל בלתי חוקי, אף אם הם מתקיימים טרם הישיבה או לאחר סיומה. לחלופין, הבהרה כאמור תועבר לחברי האיגוד טרם הישיבה, בין במסגרת ההזמנה לישיבה ובין בדרך אחרת ובלבד שתהא פשוטה, ברורה ובולטת לעין.</w:t>
      </w:r>
    </w:p>
    <w:p w14:paraId="6841B34A" w14:textId="77777777" w:rsidR="00802D72" w:rsidRPr="00B6093D" w:rsidRDefault="00802D72" w:rsidP="00B6093D">
      <w:pPr>
        <w:pStyle w:val="ListParagraph"/>
        <w:numPr>
          <w:ilvl w:val="0"/>
          <w:numId w:val="26"/>
        </w:numPr>
        <w:spacing w:before="120"/>
        <w:rPr>
          <w:vertAlign w:val="superscript"/>
          <w:rtl/>
        </w:rPr>
      </w:pPr>
      <w:r w:rsidRPr="00802D72">
        <w:rPr>
          <w:rFonts w:hint="cs"/>
          <w:rtl/>
        </w:rPr>
        <w:t xml:space="preserve">הישיבה תתועד בפרוטוקול מפורט אשר יירשם בזמן אמת ויישמר להצגה לפי דרישה. הפרוטוקול יפרט, בין השאר, את מועד ומקום הישיבה, שמות המשתתפים השתייכותם הארגונית ותפקידם, הנושאים העומדים לדיון, כל החלטה, המלצה או סיכום שהתקבלו במהלך הישיבה וכל מסמך שהוגש או הועבר בעת הישיבה או כהכנה לה. במהלך הישיבה לא יידונו עניינים "שלא לפרוטוקול". </w:t>
      </w:r>
    </w:p>
    <w:p w14:paraId="3B881133" w14:textId="77777777" w:rsidR="00802D72" w:rsidRDefault="00802D72" w:rsidP="00802D72">
      <w:pPr>
        <w:pStyle w:val="ListParagraph"/>
        <w:numPr>
          <w:ilvl w:val="0"/>
          <w:numId w:val="23"/>
        </w:numPr>
        <w:tabs>
          <w:tab w:val="left" w:pos="32"/>
        </w:tabs>
        <w:spacing w:before="100" w:beforeAutospacing="1" w:after="100" w:afterAutospacing="1"/>
        <w:ind w:hanging="688"/>
      </w:pPr>
      <w:r w:rsidRPr="00802D72">
        <w:rPr>
          <w:rFonts w:hint="cs"/>
          <w:rtl/>
        </w:rPr>
        <w:t>הוראות סעיפים 24-45 יחולו, בשינויים המתחייבים מנסיבות העניין, גם על פורומים אחרים הנערכים על ידי האיגוד, מטעמו או בחסותו, כגון כינוסים מקצועיים ואירועים חברתיים.</w:t>
      </w:r>
      <w:r w:rsidRPr="00802D72">
        <w:rPr>
          <w:rStyle w:val="FootnoteReference"/>
          <w:rtl/>
        </w:rPr>
        <w:footnoteReference w:id="24"/>
      </w:r>
      <w:r w:rsidRPr="00802D72">
        <w:rPr>
          <w:rFonts w:hint="cs"/>
          <w:rtl/>
        </w:rPr>
        <w:t xml:space="preserve">  </w:t>
      </w:r>
    </w:p>
    <w:p w14:paraId="6E0899E8" w14:textId="77777777" w:rsidR="00ED11B7" w:rsidRDefault="00ED11B7" w:rsidP="00ED11B7">
      <w:pPr>
        <w:pStyle w:val="ListParagraph"/>
        <w:tabs>
          <w:tab w:val="left" w:pos="32"/>
        </w:tabs>
        <w:spacing w:before="100" w:beforeAutospacing="1" w:after="100" w:afterAutospacing="1"/>
        <w:rPr>
          <w:rtl/>
        </w:rPr>
      </w:pPr>
    </w:p>
    <w:p w14:paraId="5B0544F4" w14:textId="77777777" w:rsidR="00ED11B7" w:rsidRDefault="00ED11B7" w:rsidP="00ED11B7">
      <w:pPr>
        <w:pStyle w:val="ListParagraph"/>
        <w:tabs>
          <w:tab w:val="left" w:pos="32"/>
        </w:tabs>
        <w:spacing w:before="100" w:beforeAutospacing="1" w:after="100" w:afterAutospacing="1"/>
      </w:pPr>
    </w:p>
    <w:p w14:paraId="74331F3A" w14:textId="77777777" w:rsidR="00802D72" w:rsidRPr="00802D72" w:rsidRDefault="00F96471" w:rsidP="00802D72">
      <w:pPr>
        <w:tabs>
          <w:tab w:val="left" w:pos="32"/>
        </w:tabs>
        <w:spacing w:after="100" w:afterAutospacing="1"/>
      </w:pPr>
      <w:r w:rsidRPr="00802D72">
        <w:rPr>
          <w:rFonts w:hint="cs"/>
          <w:rtl/>
        </w:rPr>
        <w:t xml:space="preserve"> </w:t>
      </w:r>
      <w:r w:rsidR="00802D72" w:rsidRPr="00802D72">
        <w:rPr>
          <w:rFonts w:hint="cs"/>
          <w:rtl/>
        </w:rPr>
        <w:t xml:space="preserve">(ב) </w:t>
      </w:r>
      <w:r w:rsidR="00802D72" w:rsidRPr="00802D72">
        <w:rPr>
          <w:rFonts w:hint="cs"/>
          <w:u w:val="single"/>
          <w:rtl/>
        </w:rPr>
        <w:t>הוראות והמלצות מטעם האיגוד</w:t>
      </w:r>
    </w:p>
    <w:p w14:paraId="6841E50F" w14:textId="77777777" w:rsidR="00802D72" w:rsidRPr="00802D72" w:rsidRDefault="00ED11B7" w:rsidP="00802D72">
      <w:pPr>
        <w:pStyle w:val="ListParagraph"/>
        <w:numPr>
          <w:ilvl w:val="0"/>
          <w:numId w:val="23"/>
        </w:numPr>
        <w:tabs>
          <w:tab w:val="left" w:pos="32"/>
        </w:tabs>
        <w:spacing w:after="0"/>
        <w:ind w:hanging="688"/>
      </w:pPr>
      <w:r>
        <w:rPr>
          <w:rFonts w:hint="cs"/>
          <w:rtl/>
        </w:rPr>
        <w:t>איגוד עסקי</w:t>
      </w:r>
      <w:r w:rsidR="00802D72" w:rsidRPr="00802D72">
        <w:rPr>
          <w:rFonts w:hint="cs"/>
          <w:rtl/>
        </w:rPr>
        <w:t xml:space="preserve"> לא יקבע הוראות או המלצות שיש בהן כדי להוות קו פעולה או הסדר כובל בין חבריו ולא ייטול חלק בהפצתן או בפרסומן. מבלי לגרוע מכלליות האמור, יימנע האיגוד מקבלת </w:t>
      </w:r>
      <w:r w:rsidR="00802D72" w:rsidRPr="00802D72">
        <w:rPr>
          <w:rFonts w:hint="cs"/>
          <w:rtl/>
        </w:rPr>
        <w:lastRenderedPageBreak/>
        <w:t>החלטה, מתן הוראה, המלצה או עצה מקצועית, לחבריו ולעוסקים אחרים, במישרין או באמצעות צד שלישי, בעניינים הבאים</w:t>
      </w:r>
      <w:r w:rsidR="00802D72" w:rsidRPr="00802D72">
        <w:t>:</w:t>
      </w:r>
    </w:p>
    <w:p w14:paraId="42FD6D5B" w14:textId="77777777" w:rsidR="00802D72" w:rsidRPr="00802D72" w:rsidRDefault="00802D72" w:rsidP="00B6093D">
      <w:pPr>
        <w:pStyle w:val="ListParagraph"/>
        <w:numPr>
          <w:ilvl w:val="0"/>
          <w:numId w:val="27"/>
        </w:numPr>
        <w:spacing w:before="120"/>
        <w:rPr>
          <w:rtl/>
        </w:rPr>
      </w:pPr>
      <w:r w:rsidRPr="00802D72">
        <w:rPr>
          <w:rFonts w:hint="cs"/>
          <w:rtl/>
        </w:rPr>
        <w:t>מחירים, מדיניות תמחור, נוסחות תמחור ותנאים מסחריים אחרים, ובכלל זה מחירונים ותעריפונים, שיעורי הנחות והטבות, שער חליפין, מבצעים, תשלומים ומדיניות אשראי. הדברים אמורים גם באשר למחיר אשר אליו מצורפים תארים כגון "הוגן", "ראוי", "הולם" וכיו"ב;</w:t>
      </w:r>
      <w:r w:rsidRPr="00802D72">
        <w:rPr>
          <w:rStyle w:val="FootnoteReference"/>
          <w:rFonts w:ascii="Calibri" w:eastAsia="Calibri" w:hAnsi="Calibri"/>
          <w:rtl/>
        </w:rPr>
        <w:footnoteReference w:id="25"/>
      </w:r>
    </w:p>
    <w:p w14:paraId="0F590E09" w14:textId="77777777" w:rsidR="00802D72" w:rsidRPr="00802D72" w:rsidRDefault="00802D72" w:rsidP="00B6093D">
      <w:pPr>
        <w:pStyle w:val="ListParagraph"/>
        <w:numPr>
          <w:ilvl w:val="0"/>
          <w:numId w:val="27"/>
        </w:numPr>
        <w:spacing w:before="120"/>
      </w:pPr>
      <w:r w:rsidRPr="00802D72">
        <w:rPr>
          <w:rFonts w:hint="cs"/>
          <w:rtl/>
        </w:rPr>
        <w:t xml:space="preserve">עלויות ודרכי חישובן; </w:t>
      </w:r>
    </w:p>
    <w:p w14:paraId="667C17CE" w14:textId="77777777" w:rsidR="00802D72" w:rsidRPr="00802D72" w:rsidRDefault="00802D72" w:rsidP="00B6093D">
      <w:pPr>
        <w:pStyle w:val="ListParagraph"/>
        <w:numPr>
          <w:ilvl w:val="0"/>
          <w:numId w:val="27"/>
        </w:numPr>
        <w:spacing w:before="120"/>
        <w:rPr>
          <w:rtl/>
        </w:rPr>
      </w:pPr>
      <w:r w:rsidRPr="00802D72">
        <w:rPr>
          <w:rFonts w:hint="cs"/>
          <w:rtl/>
        </w:rPr>
        <w:t>אסטרטגיה עסקית, מדיניות תמחור, היקף ייצור או פעילות, מגוון, פיתוח עסקי או מדיניות תחרות;</w:t>
      </w:r>
    </w:p>
    <w:p w14:paraId="41AA1DF1" w14:textId="77777777" w:rsidR="00802D72" w:rsidRPr="00802D72" w:rsidRDefault="00802D72" w:rsidP="00B6093D">
      <w:pPr>
        <w:pStyle w:val="ListParagraph"/>
        <w:numPr>
          <w:ilvl w:val="0"/>
          <w:numId w:val="27"/>
        </w:numPr>
        <w:spacing w:before="120"/>
      </w:pPr>
      <w:r w:rsidRPr="00802D72">
        <w:rPr>
          <w:rFonts w:hint="cs"/>
          <w:rtl/>
        </w:rPr>
        <w:t xml:space="preserve">השתתפות במכרז או מנגנון תיחור אחר, או הימנעות מהשתתפות בו, והערכה בדבר כדאיות ההשתתפות; </w:t>
      </w:r>
    </w:p>
    <w:p w14:paraId="364B73CE" w14:textId="77777777" w:rsidR="00802D72" w:rsidRPr="00802D72" w:rsidRDefault="00802D72" w:rsidP="00DD31A7">
      <w:pPr>
        <w:pStyle w:val="ListParagraph"/>
        <w:numPr>
          <w:ilvl w:val="0"/>
          <w:numId w:val="27"/>
        </w:numPr>
        <w:spacing w:before="120"/>
        <w:rPr>
          <w:rtl/>
        </w:rPr>
      </w:pPr>
      <w:r w:rsidRPr="00802D72">
        <w:rPr>
          <w:rFonts w:hint="cs"/>
          <w:rtl/>
        </w:rPr>
        <w:t>התקשרות או הימנעות מהתקשרות עם ספק, לקוח או מתחרה מסוים, התניית התקשרות עמו בתנאים או סייגים, החרמתו, או הערכה בדבר כדאיות ההתקשרות עמו</w:t>
      </w:r>
      <w:r w:rsidR="00DD31A7">
        <w:rPr>
          <w:rFonts w:hint="cs"/>
          <w:rtl/>
        </w:rPr>
        <w:t>;</w:t>
      </w:r>
      <w:r w:rsidRPr="00802D72">
        <w:rPr>
          <w:rFonts w:hint="cs"/>
          <w:rtl/>
        </w:rPr>
        <w:t xml:space="preserve"> </w:t>
      </w:r>
    </w:p>
    <w:p w14:paraId="07A663BB" w14:textId="77777777" w:rsidR="00802D72" w:rsidRPr="00802D72" w:rsidRDefault="00802D72" w:rsidP="00B6093D">
      <w:pPr>
        <w:pStyle w:val="ListParagraph"/>
        <w:numPr>
          <w:ilvl w:val="0"/>
          <w:numId w:val="27"/>
        </w:numPr>
        <w:spacing w:before="120"/>
        <w:rPr>
          <w:rtl/>
        </w:rPr>
      </w:pPr>
      <w:r w:rsidRPr="00802D72">
        <w:rPr>
          <w:rtl/>
        </w:rPr>
        <w:t xml:space="preserve">הגבלה על גיוס </w:t>
      </w:r>
      <w:r w:rsidRPr="00802D72">
        <w:rPr>
          <w:rFonts w:hint="eastAsia"/>
          <w:rtl/>
        </w:rPr>
        <w:t>או</w:t>
      </w:r>
      <w:r w:rsidRPr="00802D72">
        <w:rPr>
          <w:rtl/>
        </w:rPr>
        <w:t xml:space="preserve"> מעבר </w:t>
      </w:r>
      <w:r w:rsidRPr="00802D72">
        <w:rPr>
          <w:rFonts w:hint="eastAsia"/>
          <w:rtl/>
        </w:rPr>
        <w:t>עובדים</w:t>
      </w:r>
      <w:r w:rsidRPr="00802D72">
        <w:rPr>
          <w:rtl/>
        </w:rPr>
        <w:t xml:space="preserve"> </w:t>
      </w:r>
      <w:r w:rsidRPr="00802D72">
        <w:rPr>
          <w:rFonts w:hint="eastAsia"/>
          <w:rtl/>
        </w:rPr>
        <w:t>של</w:t>
      </w:r>
      <w:r w:rsidRPr="00802D72">
        <w:rPr>
          <w:rtl/>
        </w:rPr>
        <w:t xml:space="preserve"> </w:t>
      </w:r>
      <w:r w:rsidRPr="00802D72">
        <w:rPr>
          <w:rFonts w:hint="eastAsia"/>
          <w:rtl/>
        </w:rPr>
        <w:t>חברי</w:t>
      </w:r>
      <w:r w:rsidRPr="00802D72">
        <w:rPr>
          <w:rtl/>
        </w:rPr>
        <w:t xml:space="preserve"> </w:t>
      </w:r>
      <w:r w:rsidRPr="00802D72">
        <w:rPr>
          <w:rFonts w:hint="eastAsia"/>
          <w:rtl/>
        </w:rPr>
        <w:t>האיגוד</w:t>
      </w:r>
      <w:r w:rsidRPr="00802D72">
        <w:rPr>
          <w:rtl/>
        </w:rPr>
        <w:t xml:space="preserve"> </w:t>
      </w:r>
      <w:r w:rsidRPr="00802D72">
        <w:rPr>
          <w:rFonts w:hint="eastAsia"/>
          <w:rtl/>
        </w:rPr>
        <w:t>או</w:t>
      </w:r>
      <w:r w:rsidRPr="00802D72">
        <w:rPr>
          <w:rtl/>
        </w:rPr>
        <w:t xml:space="preserve"> </w:t>
      </w:r>
      <w:r w:rsidRPr="00802D72">
        <w:rPr>
          <w:rFonts w:hint="eastAsia"/>
          <w:rtl/>
        </w:rPr>
        <w:t>מתחרים</w:t>
      </w:r>
      <w:r w:rsidRPr="00802D72">
        <w:rPr>
          <w:rtl/>
        </w:rPr>
        <w:t xml:space="preserve"> </w:t>
      </w:r>
      <w:r w:rsidRPr="00802D72">
        <w:rPr>
          <w:rFonts w:hint="eastAsia"/>
          <w:rtl/>
        </w:rPr>
        <w:t>אחרים</w:t>
      </w:r>
      <w:r w:rsidRPr="00802D72">
        <w:rPr>
          <w:rtl/>
        </w:rPr>
        <w:t>.</w:t>
      </w:r>
    </w:p>
    <w:p w14:paraId="154CB1C3" w14:textId="77777777" w:rsidR="00802D72" w:rsidRPr="00802D72" w:rsidRDefault="00802D72" w:rsidP="00802D72">
      <w:pPr>
        <w:tabs>
          <w:tab w:val="left" w:pos="32"/>
        </w:tabs>
        <w:spacing w:after="100" w:afterAutospacing="1"/>
        <w:rPr>
          <w:u w:val="single"/>
          <w:rtl/>
        </w:rPr>
      </w:pPr>
      <w:r w:rsidRPr="00802D72">
        <w:rPr>
          <w:rFonts w:hint="cs"/>
          <w:rtl/>
        </w:rPr>
        <w:t xml:space="preserve">(ג) </w:t>
      </w:r>
      <w:r w:rsidRPr="00802D72">
        <w:rPr>
          <w:rFonts w:hint="cs"/>
          <w:u w:val="single"/>
          <w:rtl/>
        </w:rPr>
        <w:t xml:space="preserve">איסוף, החזקה והפצה של מידע על ידי האיגוד </w:t>
      </w:r>
    </w:p>
    <w:p w14:paraId="3A4C3B7D" w14:textId="77777777" w:rsidR="0004545A" w:rsidRDefault="0004545A" w:rsidP="0004545A">
      <w:pPr>
        <w:pStyle w:val="ListParagraph"/>
        <w:numPr>
          <w:ilvl w:val="0"/>
          <w:numId w:val="23"/>
        </w:numPr>
        <w:tabs>
          <w:tab w:val="left" w:pos="32"/>
        </w:tabs>
        <w:spacing w:after="0"/>
      </w:pPr>
      <w:r>
        <w:rPr>
          <w:rFonts w:hint="cs"/>
          <w:rtl/>
        </w:rPr>
        <w:t>איסוף מידע רלוונטי לענף בידי איגוד עסקי עשוי לחסוך עלויות משמעותיות של השגת המידע. בנוסף, המידע הנאסף על ידי איגוד עסקי יכול, עשוי להיחשב אובייקטיבי ואמין.</w:t>
      </w:r>
      <w:r>
        <w:rPr>
          <w:rStyle w:val="FootnoteReference"/>
          <w:rFonts w:eastAsiaTheme="majorEastAsia"/>
          <w:rtl/>
        </w:rPr>
        <w:footnoteReference w:id="26"/>
      </w:r>
      <w:r>
        <w:rPr>
          <w:rFonts w:hint="cs"/>
          <w:rtl/>
        </w:rPr>
        <w:t xml:space="preserve"> עם זאת, חשיפת מידע רגיש מבחינה תחרותית בין מתחרים טומנת בחובה חשש </w:t>
      </w:r>
      <w:r>
        <w:rPr>
          <w:rFonts w:hint="cs"/>
          <w:rtl/>
        </w:rPr>
        <w:lastRenderedPageBreak/>
        <w:t>לצינון התחרות, להקלה על התנהגות מתואמת ולתיאום מפורש בין מתחרים.</w:t>
      </w:r>
      <w:r>
        <w:rPr>
          <w:rStyle w:val="FootnoteReference"/>
          <w:rFonts w:eastAsiaTheme="majorEastAsia"/>
          <w:rtl/>
        </w:rPr>
        <w:footnoteReference w:id="27"/>
      </w:r>
      <w:r>
        <w:rPr>
          <w:rFonts w:hint="cs"/>
          <w:rtl/>
        </w:rPr>
        <w:t xml:space="preserve"> </w:t>
      </w:r>
    </w:p>
    <w:p w14:paraId="1993065A" w14:textId="11FBC300" w:rsidR="0004545A" w:rsidRDefault="0004545A" w:rsidP="0004545A">
      <w:pPr>
        <w:pStyle w:val="ListParagraph"/>
        <w:numPr>
          <w:ilvl w:val="0"/>
          <w:numId w:val="23"/>
        </w:numPr>
        <w:tabs>
          <w:tab w:val="left" w:pos="32"/>
        </w:tabs>
        <w:spacing w:after="0"/>
      </w:pPr>
      <w:r>
        <w:rPr>
          <w:rFonts w:hint="cs"/>
          <w:rtl/>
        </w:rPr>
        <w:t xml:space="preserve">מטעם זה, </w:t>
      </w:r>
      <w:r w:rsidRPr="00802D72">
        <w:rPr>
          <w:rFonts w:hint="cs"/>
          <w:rtl/>
        </w:rPr>
        <w:t xml:space="preserve">האיגוד לא יאסוף, לא יחזיק ולא יפיץ, בעצמו או באמצעות אדם שלישי, מידע שעיקר </w:t>
      </w:r>
      <w:r>
        <w:rPr>
          <w:rFonts w:hint="cs"/>
          <w:rtl/>
        </w:rPr>
        <w:t>תכלית</w:t>
      </w:r>
      <w:r w:rsidRPr="00802D72">
        <w:rPr>
          <w:rFonts w:hint="cs"/>
          <w:rtl/>
        </w:rPr>
        <w:t xml:space="preserve"> איסופו, החזקתו או הפצתו היא הפחתת התחרות או מניעתה.</w:t>
      </w:r>
    </w:p>
    <w:p w14:paraId="7FD5D3D0" w14:textId="3EC71525" w:rsidR="0004545A" w:rsidRDefault="0004545A" w:rsidP="0004545A">
      <w:pPr>
        <w:pStyle w:val="ListParagraph"/>
        <w:numPr>
          <w:ilvl w:val="0"/>
          <w:numId w:val="23"/>
        </w:numPr>
        <w:tabs>
          <w:tab w:val="left" w:pos="32"/>
        </w:tabs>
        <w:spacing w:before="120"/>
        <w:rPr>
          <w:rtl/>
        </w:rPr>
      </w:pPr>
      <w:r>
        <w:rPr>
          <w:rFonts w:hint="cs"/>
          <w:rtl/>
        </w:rPr>
        <w:t xml:space="preserve">בכל הנוגע לאיסוף מידע רגיש מבחינה תחרותית יחולו הכללים הבאים: </w:t>
      </w:r>
    </w:p>
    <w:p w14:paraId="492BC979" w14:textId="77777777" w:rsidR="0004545A" w:rsidRDefault="0004545A" w:rsidP="0004545A">
      <w:pPr>
        <w:pStyle w:val="ListParagraph"/>
        <w:numPr>
          <w:ilvl w:val="0"/>
          <w:numId w:val="35"/>
        </w:numPr>
        <w:spacing w:before="120"/>
        <w:rPr>
          <w:rtl/>
        </w:rPr>
      </w:pPr>
      <w:r w:rsidRPr="00B55510">
        <w:rPr>
          <w:rtl/>
        </w:rPr>
        <w:t xml:space="preserve">איסוף </w:t>
      </w:r>
      <w:r>
        <w:rPr>
          <w:rFonts w:hint="cs"/>
          <w:rtl/>
        </w:rPr>
        <w:t>ה</w:t>
      </w:r>
      <w:r w:rsidRPr="00B55510">
        <w:rPr>
          <w:rtl/>
        </w:rPr>
        <w:t xml:space="preserve">מידע </w:t>
      </w:r>
      <w:r>
        <w:rPr>
          <w:rFonts w:hint="cs"/>
          <w:rtl/>
        </w:rPr>
        <w:t>ו</w:t>
      </w:r>
      <w:r>
        <w:rPr>
          <w:rtl/>
        </w:rPr>
        <w:t>החזקת</w:t>
      </w:r>
      <w:r>
        <w:rPr>
          <w:rFonts w:hint="cs"/>
          <w:rtl/>
        </w:rPr>
        <w:t xml:space="preserve">ו </w:t>
      </w:r>
      <w:r w:rsidRPr="00B55510">
        <w:rPr>
          <w:rtl/>
        </w:rPr>
        <w:t xml:space="preserve">לא </w:t>
      </w:r>
      <w:r>
        <w:rPr>
          <w:rFonts w:hint="cs"/>
          <w:rtl/>
        </w:rPr>
        <w:t>ייעשו</w:t>
      </w:r>
      <w:r w:rsidRPr="00B55510">
        <w:rPr>
          <w:rtl/>
        </w:rPr>
        <w:t xml:space="preserve"> באמצעות מתחרה</w:t>
      </w:r>
      <w:r>
        <w:rPr>
          <w:rFonts w:hint="cs"/>
          <w:rtl/>
        </w:rPr>
        <w:t>,</w:t>
      </w:r>
      <w:r w:rsidRPr="00B55510">
        <w:rPr>
          <w:rtl/>
        </w:rPr>
        <w:t xml:space="preserve"> חבר באיגוד העסקי או אדם הקשור במי מאלה או מי מטעמם</w:t>
      </w:r>
      <w:r>
        <w:rPr>
          <w:rFonts w:hint="cs"/>
          <w:rtl/>
        </w:rPr>
        <w:t xml:space="preserve"> </w:t>
      </w:r>
      <w:r w:rsidRPr="00B55510">
        <w:rPr>
          <w:rtl/>
        </w:rPr>
        <w:t>- אף אם הוא ממלא תפקיד באיגוד העסקי</w:t>
      </w:r>
      <w:r>
        <w:rPr>
          <w:rFonts w:hint="cs"/>
          <w:rtl/>
        </w:rPr>
        <w:t>;</w:t>
      </w:r>
    </w:p>
    <w:p w14:paraId="2FDD0AFD" w14:textId="77777777" w:rsidR="0004545A" w:rsidRDefault="0004545A" w:rsidP="0004545A">
      <w:pPr>
        <w:pStyle w:val="ListParagraph"/>
        <w:numPr>
          <w:ilvl w:val="0"/>
          <w:numId w:val="35"/>
        </w:numPr>
        <w:spacing w:before="120"/>
        <w:rPr>
          <w:rtl/>
        </w:rPr>
      </w:pPr>
      <w:r w:rsidRPr="00B55510">
        <w:rPr>
          <w:rtl/>
        </w:rPr>
        <w:t xml:space="preserve">  </w:t>
      </w:r>
      <w:r w:rsidRPr="00802D72">
        <w:rPr>
          <w:rFonts w:hint="cs"/>
          <w:rtl/>
        </w:rPr>
        <w:t xml:space="preserve">המידע יוחזק באופן שלא יאפשר זליגת מידע למי שאינו מורשה להיחשף אליו ובפרט </w:t>
      </w:r>
      <w:r>
        <w:rPr>
          <w:rFonts w:hint="cs"/>
          <w:rtl/>
        </w:rPr>
        <w:t xml:space="preserve">חבר האיגוד העסקי, </w:t>
      </w:r>
      <w:r w:rsidRPr="00802D72">
        <w:rPr>
          <w:rFonts w:hint="cs"/>
          <w:rtl/>
        </w:rPr>
        <w:t xml:space="preserve">מתחרה או </w:t>
      </w:r>
      <w:r>
        <w:rPr>
          <w:rFonts w:hint="cs"/>
          <w:rtl/>
        </w:rPr>
        <w:t xml:space="preserve">אדם הקשור במי מאלה או במי מטעמו </w:t>
      </w:r>
      <w:r w:rsidRPr="00802D72">
        <w:rPr>
          <w:rFonts w:hint="cs"/>
          <w:rtl/>
        </w:rPr>
        <w:t>אף</w:t>
      </w:r>
      <w:r>
        <w:rPr>
          <w:rFonts w:hint="cs"/>
          <w:rtl/>
        </w:rPr>
        <w:t xml:space="preserve"> אם הוא ממלא תפקיד באיגוד העסקי;</w:t>
      </w:r>
    </w:p>
    <w:p w14:paraId="4DFB5231" w14:textId="3E96345C" w:rsidR="0004545A" w:rsidRDefault="0004545A" w:rsidP="0004545A">
      <w:pPr>
        <w:spacing w:before="120"/>
        <w:ind w:left="1440"/>
        <w:rPr>
          <w:rtl/>
        </w:rPr>
      </w:pPr>
      <w:r>
        <w:rPr>
          <w:rFonts w:hint="cs"/>
          <w:rtl/>
        </w:rPr>
        <w:t>(2) האיגוד לא יעביר מידע רגיש מבחינה תחרותית לצד שלישי, אף שאינו מתחרה, אלא לשם עיבודו או לתכלית ברורה אחרת, שנקבעה מראש ותועדה, ובכפוף להתחייבות לשמירת סודיות;</w:t>
      </w:r>
    </w:p>
    <w:p w14:paraId="3D8D0A2D" w14:textId="77777777" w:rsidR="0004545A" w:rsidRDefault="0004545A" w:rsidP="0004545A">
      <w:pPr>
        <w:spacing w:before="120"/>
        <w:ind w:left="1440"/>
        <w:rPr>
          <w:rtl/>
        </w:rPr>
      </w:pPr>
      <w:r>
        <w:rPr>
          <w:rFonts w:hint="cs"/>
          <w:rtl/>
        </w:rPr>
        <w:t xml:space="preserve"> (2) יש להסתפק, ככל הניתן, במידע ברמת הפרטנות הנמוכה ביותר שיש בה כדי לענות על תכלית האיסוף, ושאינה מאפשרת לדלות מידע פרטני בדרך של "הנדסה לאחור"; </w:t>
      </w:r>
    </w:p>
    <w:p w14:paraId="4406736E" w14:textId="469278D7" w:rsidR="0004545A" w:rsidRDefault="00441344" w:rsidP="00441344">
      <w:pPr>
        <w:spacing w:before="120"/>
        <w:ind w:left="1440"/>
        <w:rPr>
          <w:rtl/>
        </w:rPr>
      </w:pPr>
      <w:r w:rsidDel="00441344">
        <w:rPr>
          <w:rFonts w:hint="cs"/>
          <w:rtl/>
        </w:rPr>
        <w:t xml:space="preserve"> </w:t>
      </w:r>
      <w:r w:rsidR="0004545A">
        <w:rPr>
          <w:rFonts w:hint="cs"/>
          <w:rtl/>
        </w:rPr>
        <w:t>(</w:t>
      </w:r>
      <w:r>
        <w:rPr>
          <w:rFonts w:hint="cs"/>
          <w:rtl/>
        </w:rPr>
        <w:t>3</w:t>
      </w:r>
      <w:r w:rsidR="0004545A">
        <w:rPr>
          <w:rFonts w:hint="cs"/>
          <w:rtl/>
        </w:rPr>
        <w:t>) באיסוף המידע, יימנע האיגוד מכפייה, דרישה או הוראה לחבריו להעביר מידע רגיש מבחינה תחרותית.</w:t>
      </w:r>
    </w:p>
    <w:p w14:paraId="46870D24" w14:textId="77777777" w:rsidR="0004545A" w:rsidRDefault="0004545A" w:rsidP="0004545A">
      <w:pPr>
        <w:pStyle w:val="ListParagraph"/>
        <w:numPr>
          <w:ilvl w:val="0"/>
          <w:numId w:val="23"/>
        </w:numPr>
        <w:tabs>
          <w:tab w:val="left" w:pos="32"/>
        </w:tabs>
        <w:spacing w:after="0"/>
      </w:pPr>
      <w:r>
        <w:rPr>
          <w:rFonts w:hint="cs"/>
          <w:rtl/>
        </w:rPr>
        <w:t>האיגוד לא יפיץ מידע רגיש תחרותית.</w:t>
      </w:r>
    </w:p>
    <w:p w14:paraId="460FF12C" w14:textId="77777777" w:rsidR="0004545A" w:rsidRDefault="0004545A" w:rsidP="0004545A">
      <w:pPr>
        <w:pStyle w:val="ListParagraph"/>
        <w:numPr>
          <w:ilvl w:val="0"/>
          <w:numId w:val="23"/>
        </w:numPr>
        <w:tabs>
          <w:tab w:val="left" w:pos="32"/>
        </w:tabs>
        <w:spacing w:after="0"/>
        <w:rPr>
          <w:rtl/>
        </w:rPr>
      </w:pPr>
      <w:r>
        <w:rPr>
          <w:rFonts w:hint="cs"/>
          <w:rtl/>
        </w:rPr>
        <w:lastRenderedPageBreak/>
        <w:t xml:space="preserve">האיגוד לא יפיץ מידע מעובד </w:t>
      </w:r>
      <w:r w:rsidRPr="00802D72">
        <w:rPr>
          <w:rFonts w:hint="cs"/>
          <w:rtl/>
        </w:rPr>
        <w:t xml:space="preserve">המבוסס על </w:t>
      </w:r>
      <w:r>
        <w:rPr>
          <w:rFonts w:hint="cs"/>
          <w:rtl/>
        </w:rPr>
        <w:t xml:space="preserve">מידע </w:t>
      </w:r>
      <w:r w:rsidRPr="00802D72">
        <w:rPr>
          <w:rFonts w:hint="cs"/>
          <w:rtl/>
        </w:rPr>
        <w:t xml:space="preserve">רגיש מבחינה תחרותית </w:t>
      </w:r>
      <w:r>
        <w:rPr>
          <w:rFonts w:hint="cs"/>
          <w:rtl/>
        </w:rPr>
        <w:t xml:space="preserve">אלא לאחר שנקט אמצעים סבירים לוודא כי לא ניתן להתחקות אחר מידע רגיש מבחינה תחרותית באמצעות הנדסה לאחור של מידע זה. </w:t>
      </w:r>
    </w:p>
    <w:p w14:paraId="6CA40FAE" w14:textId="77777777" w:rsidR="00777BBB" w:rsidRPr="00802D72" w:rsidRDefault="0004545A" w:rsidP="007B3ED8">
      <w:pPr>
        <w:pStyle w:val="ListParagraph"/>
        <w:numPr>
          <w:ilvl w:val="0"/>
          <w:numId w:val="23"/>
        </w:numPr>
        <w:tabs>
          <w:tab w:val="left" w:pos="32"/>
        </w:tabs>
        <w:spacing w:after="0"/>
        <w:rPr>
          <w:rtl/>
        </w:rPr>
      </w:pPr>
      <w:r>
        <w:rPr>
          <w:rFonts w:hint="cs"/>
          <w:rtl/>
        </w:rPr>
        <w:t>האיגוד יקפיד כי אופן הפצת המידע לא יקנה יתרון בלתי הוגן למתחרים מסוימים על פני מתחרים אחרים. האיגוד יקפיד על שוויון מהותי בהפצת המידע וזמינותו.</w:t>
      </w:r>
    </w:p>
    <w:p w14:paraId="6CFA7939" w14:textId="77777777" w:rsidR="00802D72" w:rsidRPr="00802D72" w:rsidRDefault="00802D72" w:rsidP="00802D72">
      <w:pPr>
        <w:pStyle w:val="ListParagraph"/>
        <w:tabs>
          <w:tab w:val="left" w:pos="32"/>
        </w:tabs>
        <w:spacing w:after="0"/>
        <w:rPr>
          <w:rtl/>
        </w:rPr>
      </w:pPr>
    </w:p>
    <w:p w14:paraId="60097904" w14:textId="77777777" w:rsidR="00802D72" w:rsidRPr="00802D72" w:rsidRDefault="00802D72" w:rsidP="00802D72">
      <w:pPr>
        <w:tabs>
          <w:tab w:val="left" w:pos="32"/>
          <w:tab w:val="left" w:pos="2762"/>
        </w:tabs>
        <w:spacing w:before="120"/>
        <w:ind w:left="32"/>
        <w:rPr>
          <w:u w:val="single"/>
          <w:rtl/>
        </w:rPr>
      </w:pPr>
      <w:r w:rsidRPr="00802D72">
        <w:rPr>
          <w:rFonts w:hint="cs"/>
          <w:rtl/>
        </w:rPr>
        <w:t xml:space="preserve">(ד) </w:t>
      </w:r>
      <w:r w:rsidRPr="00802D72">
        <w:rPr>
          <w:rFonts w:hint="cs"/>
          <w:u w:val="single"/>
          <w:rtl/>
        </w:rPr>
        <w:t>פעילות מול רשויות שלטון</w:t>
      </w:r>
    </w:p>
    <w:p w14:paraId="66746B4A" w14:textId="77777777" w:rsidR="00802D72" w:rsidRPr="00802D72" w:rsidRDefault="00802D72" w:rsidP="00802D72">
      <w:pPr>
        <w:pStyle w:val="ListParagraph"/>
        <w:numPr>
          <w:ilvl w:val="0"/>
          <w:numId w:val="23"/>
        </w:numPr>
        <w:tabs>
          <w:tab w:val="left" w:pos="32"/>
        </w:tabs>
        <w:spacing w:before="120"/>
        <w:ind w:hanging="688"/>
        <w:rPr>
          <w:rtl/>
        </w:rPr>
      </w:pPr>
      <w:r w:rsidRPr="00802D72">
        <w:rPr>
          <w:rFonts w:hint="cs"/>
          <w:rtl/>
        </w:rPr>
        <w:t>ייצוג משותף של הפועלים בענף עשוי להביא בפני הרשות השלטונית תמונה רחבה יותר, לייעל הליכים לעוסקים ולרשות השלטונית ובעיקר להעניק משנה תוקף לעמדת העוסקים בענף בבחינת קול אחד המייצג את הרבים.</w:t>
      </w:r>
      <w:r w:rsidRPr="00802D72">
        <w:rPr>
          <w:rStyle w:val="FootnoteReference"/>
          <w:rtl/>
        </w:rPr>
        <w:footnoteReference w:id="28"/>
      </w:r>
      <w:r w:rsidRPr="00802D72">
        <w:rPr>
          <w:rFonts w:hint="cs"/>
          <w:rtl/>
        </w:rPr>
        <w:t xml:space="preserve"> כך בהליכי חקיקה וחקיקת משנה, בפני ערכאות שיפוטיות ומעין שיפוטיות, בפני רשויות מנהל וגופים שהוסמכו על ידיהן או בפני גופים הממלאים תפקיד ציבורי כגון קביעת תקנים או נהלים מקצועיים. </w:t>
      </w:r>
    </w:p>
    <w:p w14:paraId="1B44D1BF" w14:textId="77777777" w:rsidR="00802D72" w:rsidRPr="00802D72" w:rsidRDefault="00802D72" w:rsidP="00CA5719">
      <w:pPr>
        <w:pStyle w:val="ListParagraph"/>
        <w:numPr>
          <w:ilvl w:val="0"/>
          <w:numId w:val="23"/>
        </w:numPr>
        <w:tabs>
          <w:tab w:val="left" w:pos="32"/>
        </w:tabs>
        <w:spacing w:before="100" w:beforeAutospacing="1" w:after="100" w:afterAutospacing="1"/>
        <w:ind w:hanging="688"/>
      </w:pPr>
      <w:r w:rsidRPr="00802D72">
        <w:rPr>
          <w:rFonts w:hint="cs"/>
          <w:rtl/>
        </w:rPr>
        <w:t xml:space="preserve">פנייה בתום לב של איגוד עסקי לרשות שלטונית אינה מהווה, כשלעצמה, הפרה של דיני </w:t>
      </w:r>
      <w:r w:rsidR="00CA5719">
        <w:rPr>
          <w:rFonts w:hint="cs"/>
          <w:rtl/>
        </w:rPr>
        <w:t>התחרות</w:t>
      </w:r>
      <w:r w:rsidRPr="00802D72">
        <w:rPr>
          <w:rFonts w:hint="cs"/>
          <w:rtl/>
        </w:rPr>
        <w:t>. עם זאת, כאשר בעצם הפנייה לרשות השלטונית יש משום העברת מסר לחברי האיגוד לנהוג בדרך מסוימת, עלולה הפנייה עצמה לעלות כדי קו פעולה אסור של איגוד עסקי.</w:t>
      </w:r>
      <w:r w:rsidRPr="00802D72">
        <w:rPr>
          <w:rStyle w:val="FootnoteReference"/>
          <w:rtl/>
        </w:rPr>
        <w:footnoteReference w:id="29"/>
      </w:r>
      <w:r w:rsidRPr="00802D72">
        <w:rPr>
          <w:rFonts w:hint="cs"/>
          <w:rtl/>
        </w:rPr>
        <w:t xml:space="preserve"> בנוסף, מזווית הראייה התחרותית חבירת המתחרים, בין במסגרת איגוד עסקי ובין אד הוק, מעוררת חששות המאפיינים שולחן משותף, שעליהם עמדנו לעיל. הפנייה לרשות שלטונית תחת דגל אחד עשויה אף ליצור תחושת הזדהות או שותפות גורל בין </w:t>
      </w:r>
      <w:r w:rsidRPr="00802D72">
        <w:rPr>
          <w:rFonts w:hint="cs"/>
          <w:rtl/>
        </w:rPr>
        <w:lastRenderedPageBreak/>
        <w:t>המתחרים ולהקהות את תחושת היריבות התחרותית ביניהם. החבירה המשותפת עלולה להוות מדרון חלקלק, הגולש לעבר משא ומתן מסחרי משותף לכל דבר ועניין,</w:t>
      </w:r>
      <w:r w:rsidRPr="00802D72">
        <w:rPr>
          <w:rStyle w:val="FootnoteReference"/>
          <w:rtl/>
        </w:rPr>
        <w:footnoteReference w:id="30"/>
      </w:r>
      <w:r w:rsidRPr="00802D72">
        <w:rPr>
          <w:rFonts w:hint="cs"/>
          <w:rtl/>
        </w:rPr>
        <w:t xml:space="preserve"> או לתיאום מלא או חלקי של צעדיהם ומדיניותם העסקית של החוברים לשם קביעת עובדות בשטח, הפעלת לחץ על הרשות השלטונית או היערכות מתואמת למצב שישרור לאחר שהרשות השלטונית תקבע את אשר תקבע.</w:t>
      </w:r>
      <w:r w:rsidRPr="00802D72">
        <w:rPr>
          <w:rStyle w:val="FootnoteReference"/>
          <w:rtl/>
        </w:rPr>
        <w:footnoteReference w:id="31"/>
      </w:r>
      <w:r w:rsidRPr="00802D72">
        <w:rPr>
          <w:rFonts w:hint="cs"/>
          <w:rtl/>
        </w:rPr>
        <w:t xml:space="preserve"> </w:t>
      </w:r>
    </w:p>
    <w:p w14:paraId="3A2F5A63" w14:textId="77777777" w:rsidR="00802D72" w:rsidRPr="00802D72" w:rsidRDefault="00802D72" w:rsidP="00CA5719">
      <w:pPr>
        <w:pStyle w:val="ListParagraph"/>
        <w:numPr>
          <w:ilvl w:val="0"/>
          <w:numId w:val="23"/>
        </w:numPr>
        <w:tabs>
          <w:tab w:val="left" w:pos="32"/>
        </w:tabs>
        <w:spacing w:before="100" w:beforeAutospacing="1" w:after="100" w:afterAutospacing="1"/>
        <w:ind w:hanging="688"/>
        <w:rPr>
          <w:rtl/>
        </w:rPr>
      </w:pPr>
      <w:r w:rsidRPr="00802D72">
        <w:rPr>
          <w:rFonts w:hint="cs"/>
          <w:rtl/>
        </w:rPr>
        <w:t xml:space="preserve">בעבר גילה הממונה על </w:t>
      </w:r>
      <w:r w:rsidR="00CA5719">
        <w:rPr>
          <w:rFonts w:hint="cs"/>
          <w:rtl/>
        </w:rPr>
        <w:t xml:space="preserve">התחרות </w:t>
      </w:r>
      <w:r w:rsidRPr="00802D72">
        <w:rPr>
          <w:rFonts w:hint="cs"/>
          <w:rtl/>
        </w:rPr>
        <w:t>דעתו באשר לשיתופי פעולה בין מתחרים בפעולה מול רשויות שלטון (גילוי דעת 1/00), בין במסגרת איגוד עסקי ובין שלא במסגרתו.</w:t>
      </w:r>
      <w:r w:rsidRPr="00802D72">
        <w:rPr>
          <w:rStyle w:val="FootnoteReference"/>
          <w:rtl/>
        </w:rPr>
        <w:footnoteReference w:id="32"/>
      </w:r>
      <w:r w:rsidRPr="00802D72">
        <w:rPr>
          <w:rFonts w:hint="cs"/>
          <w:rtl/>
        </w:rPr>
        <w:t xml:space="preserve"> יובהר, כי גם האמור בגילוי הדעת הנוכחי משקף את עמדת הממונה על </w:t>
      </w:r>
      <w:r w:rsidR="00CA5719">
        <w:rPr>
          <w:rFonts w:hint="cs"/>
          <w:rtl/>
        </w:rPr>
        <w:t>התחרות</w:t>
      </w:r>
      <w:r w:rsidRPr="00802D72">
        <w:rPr>
          <w:rFonts w:hint="cs"/>
          <w:rtl/>
        </w:rPr>
        <w:t xml:space="preserve"> ביחס לפנייה משותפת של מתחרים לרשויות שלטון בין אם היא נעשית באמצעות איגוד עסקי ובין אם לאו. יש לקרוא גילוי דעת זה יחד עם האמור בגילוי דעת 1/00, אולם ככל שהוראות גילוי דעת 1/00 אין עולות בקנה אחד עם הוראות גילוי הדעת הנוכחי, יגברו הוראות גילוי הדעת הנוכחי. </w:t>
      </w:r>
    </w:p>
    <w:p w14:paraId="45AB652D" w14:textId="77777777" w:rsidR="00802D72" w:rsidRPr="00802D72" w:rsidRDefault="00802D72" w:rsidP="00802D72">
      <w:pPr>
        <w:pStyle w:val="ListParagraph"/>
        <w:numPr>
          <w:ilvl w:val="0"/>
          <w:numId w:val="23"/>
        </w:numPr>
        <w:tabs>
          <w:tab w:val="left" w:pos="32"/>
        </w:tabs>
        <w:spacing w:before="100" w:beforeAutospacing="1" w:after="100" w:afterAutospacing="1"/>
        <w:ind w:hanging="688"/>
        <w:rPr>
          <w:rtl/>
        </w:rPr>
      </w:pPr>
      <w:r w:rsidRPr="00802D72">
        <w:rPr>
          <w:rFonts w:hint="cs"/>
          <w:rtl/>
        </w:rPr>
        <w:t>עניינו של גילוי הדעת הנוכחי בהשלכותיה התחרותיות של חבירה משותפת של מתחרים בפנייה לרשויות השלטון, ולא בפגיעה בתחרות שאפשר ותיגרם בעקבות עצם הפעלת סמכות שלטונית. ברי, כי כאשר הפנייה לרשות השלטונית אינה כנה, חבירת המתחרים תיבחן על פי מהותה ולא על פי הצגתה. פנייה לרשות שלטונית המבוססת על מצגים שאינם נכונים או על מידע מטעה או בלתי בדוק, לא תיראה כפנייה בתום לב.</w:t>
      </w:r>
    </w:p>
    <w:p w14:paraId="5B5547B0" w14:textId="77777777" w:rsidR="00802D72" w:rsidRPr="00802D72" w:rsidRDefault="00802D72" w:rsidP="00802D72">
      <w:pPr>
        <w:pStyle w:val="ListParagraph"/>
        <w:numPr>
          <w:ilvl w:val="0"/>
          <w:numId w:val="23"/>
        </w:numPr>
        <w:tabs>
          <w:tab w:val="left" w:pos="32"/>
        </w:tabs>
        <w:spacing w:before="100" w:beforeAutospacing="1" w:after="100" w:afterAutospacing="1"/>
        <w:ind w:hanging="688"/>
        <w:rPr>
          <w:rtl/>
        </w:rPr>
      </w:pPr>
      <w:r w:rsidRPr="00802D72">
        <w:rPr>
          <w:rFonts w:hint="cs"/>
          <w:rtl/>
        </w:rPr>
        <w:t xml:space="preserve">יש להבחין בין פנייה לרשויות השלטון בכובען הציבורי-רגולטורי לבין פנייה בעלת אופי מסחרי. כאשר מוקד הפנייה הינו התקשרות מסחרית עם המדינה או רשות שלטונית מסוימת, תיראה הפנייה </w:t>
      </w:r>
      <w:r w:rsidRPr="00802D72">
        <w:rPr>
          <w:rFonts w:hint="cs"/>
          <w:rtl/>
        </w:rPr>
        <w:lastRenderedPageBreak/>
        <w:t xml:space="preserve">כחבירת מתחרים בהקשר עסקי, וככזאת יחולו עליה גם דיני המיזמים המשותפים. </w:t>
      </w:r>
    </w:p>
    <w:p w14:paraId="71AC0AB1" w14:textId="77777777" w:rsidR="00802D72" w:rsidRPr="00802D72" w:rsidRDefault="00802D72" w:rsidP="00802D72">
      <w:pPr>
        <w:pStyle w:val="ListParagraph"/>
        <w:numPr>
          <w:ilvl w:val="0"/>
          <w:numId w:val="23"/>
        </w:numPr>
        <w:tabs>
          <w:tab w:val="left" w:pos="32"/>
        </w:tabs>
        <w:spacing w:before="120"/>
        <w:ind w:hanging="688"/>
        <w:rPr>
          <w:rtl/>
        </w:rPr>
      </w:pPr>
      <w:r w:rsidRPr="00802D72">
        <w:rPr>
          <w:rFonts w:hint="cs"/>
          <w:rtl/>
        </w:rPr>
        <w:t xml:space="preserve">בחבירת מתחרים לפנייה לרשות שלטון, בין במסגרת איגוד עסקי ובין אם לאו, בין במישרין ובין באמצעות צד שלישי, לרבות עורכי דין, שתדלנים ("לוביסטים"), יועצים מקצועיים ויועצי יחסי ציבור וכל אדם אחר הפועל מטעם האיגוד או מי מחבריו או מטעם בעלי עניין בענף, יש לפעול בהתאם להנחיות הבאות: </w:t>
      </w:r>
    </w:p>
    <w:p w14:paraId="70232DBF" w14:textId="77777777" w:rsidR="00802D72" w:rsidRPr="00802D72" w:rsidRDefault="00802D72" w:rsidP="002B5E2E">
      <w:pPr>
        <w:pStyle w:val="ListParagraph"/>
        <w:numPr>
          <w:ilvl w:val="0"/>
          <w:numId w:val="32"/>
        </w:numPr>
        <w:tabs>
          <w:tab w:val="left" w:pos="752"/>
        </w:tabs>
        <w:spacing w:before="120"/>
        <w:rPr>
          <w:rtl/>
        </w:rPr>
      </w:pPr>
      <w:r w:rsidRPr="00802D72">
        <w:rPr>
          <w:rFonts w:hint="cs"/>
          <w:rtl/>
        </w:rPr>
        <w:t>תכלית הפנייה ותוכנה יוגדרו באופן ברור ומראש. המגעים ושיתוף הפעולה בין המתחרים יוגבלו לפעולות הנדרשות באופן סביר לקידום אותה תכלית;</w:t>
      </w:r>
    </w:p>
    <w:p w14:paraId="109EE58F" w14:textId="77777777" w:rsidR="00802D72" w:rsidRPr="00802D72" w:rsidRDefault="00802D72" w:rsidP="002B5E2E">
      <w:pPr>
        <w:pStyle w:val="ListParagraph"/>
        <w:numPr>
          <w:ilvl w:val="0"/>
          <w:numId w:val="32"/>
        </w:numPr>
        <w:tabs>
          <w:tab w:val="left" w:pos="752"/>
        </w:tabs>
        <w:spacing w:before="120"/>
        <w:rPr>
          <w:rtl/>
        </w:rPr>
      </w:pPr>
      <w:r w:rsidRPr="00802D72">
        <w:rPr>
          <w:rFonts w:hint="cs"/>
          <w:rtl/>
        </w:rPr>
        <w:t xml:space="preserve">בפנייה לרשות השלטונית ובכל פעילות עזר או הכנה לה, יחולו על החוברים ועל כל אדם הפועל מטעם האיגוד ההוראות המפורטות בסעיף </w:t>
      </w:r>
      <w:r w:rsidR="00B7515E">
        <w:rPr>
          <w:rFonts w:hint="cs"/>
          <w:rtl/>
        </w:rPr>
        <w:t>25</w:t>
      </w:r>
      <w:r w:rsidRPr="00802D72">
        <w:rPr>
          <w:rFonts w:hint="cs"/>
          <w:rtl/>
        </w:rPr>
        <w:t xml:space="preserve"> לעיל, בשינויים המחויבים;</w:t>
      </w:r>
    </w:p>
    <w:p w14:paraId="3AD96B74" w14:textId="77777777" w:rsidR="00802D72" w:rsidRPr="00802D72" w:rsidRDefault="00802D72" w:rsidP="00E27BCD">
      <w:pPr>
        <w:pStyle w:val="ListParagraph"/>
        <w:numPr>
          <w:ilvl w:val="0"/>
          <w:numId w:val="32"/>
        </w:numPr>
        <w:tabs>
          <w:tab w:val="left" w:pos="752"/>
        </w:tabs>
        <w:spacing w:before="120"/>
        <w:rPr>
          <w:rtl/>
        </w:rPr>
      </w:pPr>
      <w:r w:rsidRPr="00802D72">
        <w:rPr>
          <w:rFonts w:hint="cs"/>
          <w:rtl/>
        </w:rPr>
        <w:t xml:space="preserve">ככל שהחוברים לפנייה מבקשים להציג בפני הרשויות, במישרין או באמצעות צד שלישי, נתונים או מידע, המבוסס על מידע רגיש מבחינה תחרותית או ככל שהעברת מידע כזה נדרשת על פי דין או על ידי הרשות השלטונית הרלוונטית, יחולו על איסוף המידע, אחזקתו, עיבודו והפצתו, הוראות </w:t>
      </w:r>
      <w:r w:rsidR="00B7515E">
        <w:rPr>
          <w:rFonts w:hint="cs"/>
          <w:rtl/>
        </w:rPr>
        <w:t>סעיפים 28-</w:t>
      </w:r>
      <w:r w:rsidR="00E27BCD">
        <w:rPr>
          <w:rFonts w:hint="cs"/>
          <w:rtl/>
        </w:rPr>
        <w:t>33</w:t>
      </w:r>
      <w:r w:rsidRPr="00802D72">
        <w:rPr>
          <w:rFonts w:hint="cs"/>
          <w:rtl/>
        </w:rPr>
        <w:t xml:space="preserve"> לעיל. יובהר כי חובת ההימנעות מחשיפת מהלכים עסקיים עתידיים חלה, ביתר שאת, על מהלכיהם העסקיים של החוברים בעקבות תוצאת פנייתם לרשות הציבורית, תהא אשר תהא;</w:t>
      </w:r>
    </w:p>
    <w:p w14:paraId="41FC0613" w14:textId="77777777" w:rsidR="00802D72" w:rsidRPr="00802D72" w:rsidRDefault="00802D72" w:rsidP="002B5E2E">
      <w:pPr>
        <w:pStyle w:val="ListParagraph"/>
        <w:numPr>
          <w:ilvl w:val="0"/>
          <w:numId w:val="32"/>
        </w:numPr>
        <w:tabs>
          <w:tab w:val="left" w:pos="752"/>
        </w:tabs>
        <w:spacing w:before="120"/>
        <w:rPr>
          <w:rtl/>
        </w:rPr>
      </w:pPr>
      <w:r w:rsidRPr="00802D72">
        <w:rPr>
          <w:rFonts w:hint="cs"/>
          <w:rtl/>
        </w:rPr>
        <w:t xml:space="preserve">בפניית איגוד עסקי לרשות השלטונית על האיגוד לייצג בתום לב את עניינם של חבריו. יובהר, כי כאשר עמדת האיגוד העסקי מוכתבת, הלכה למעשה, על ידי עוסק אחד או מקצת מן העוסקים בענף ותכליתה או תוצאתה העיקרית לשרת את עניינם של אותו עוסק או של אותם עוסקים ולא את טובת הענף, אולם היא מוצגת כמקדמת </w:t>
      </w:r>
      <w:r w:rsidRPr="00802D72">
        <w:rPr>
          <w:rFonts w:hint="cs"/>
          <w:rtl/>
        </w:rPr>
        <w:lastRenderedPageBreak/>
        <w:t>את עניינו של הענף בכללו, עלולה הפנייה להוות התערבות בשיקול דעתם העצמאי של חברי איגוד שההחלטה אינה משרתת את עניינם ואפשר אף מנוגדת לאינטרס העסקי שלהם;</w:t>
      </w:r>
    </w:p>
    <w:p w14:paraId="7C81E4EF" w14:textId="77777777" w:rsidR="00802D72" w:rsidRPr="00802D72" w:rsidRDefault="00802D72" w:rsidP="00DD31A7">
      <w:pPr>
        <w:pStyle w:val="ListParagraph"/>
        <w:numPr>
          <w:ilvl w:val="0"/>
          <w:numId w:val="32"/>
        </w:numPr>
        <w:tabs>
          <w:tab w:val="left" w:pos="752"/>
        </w:tabs>
        <w:spacing w:before="120"/>
        <w:rPr>
          <w:rtl/>
        </w:rPr>
      </w:pPr>
      <w:r w:rsidRPr="00802D72">
        <w:rPr>
          <w:rFonts w:hint="cs"/>
          <w:rtl/>
        </w:rPr>
        <w:t xml:space="preserve">על מנת למנוע חשש להפרת הדין, האיגוד העסקי או החוברים לפנייה ינקטו משנה זהירות בתיאום פעולות החברים באיגוד או החוברים לפנייה בקשר לנשוא הפנייה לרשות השלטונית. האיגוד, או החוברים לפנייה, בעצמם או </w:t>
      </w:r>
      <w:r w:rsidR="00E27BCD">
        <w:rPr>
          <w:rFonts w:hint="cs"/>
          <w:rtl/>
        </w:rPr>
        <w:t>באמצעות אדם שלישי, לרבות בא כוח</w:t>
      </w:r>
      <w:r w:rsidRPr="00802D72">
        <w:rPr>
          <w:rFonts w:hint="cs"/>
          <w:rtl/>
        </w:rPr>
        <w:t xml:space="preserve"> או שתדלן מטעמם, לא יורו, לא יכריזו, לא יציעו ולא ימליצו לגורמים בענף לנקוט פעילות עסקית מתואמת כלשהי, לרבות הפעלת לחץ או ניסיון לשכנע את הרשות השלטונית או לשם היערכות להחלטת הרשות בקשר לפנייה אליה ולא יקבעו או ימליצו על פרשנות הדין והוראות רגולציה באופן שיש בו כדי לפגוע בתחרות</w:t>
      </w:r>
      <w:r w:rsidR="00DD31A7">
        <w:rPr>
          <w:rFonts w:hint="cs"/>
          <w:rtl/>
        </w:rPr>
        <w:t>;</w:t>
      </w:r>
      <w:r w:rsidRPr="00802D72">
        <w:rPr>
          <w:rFonts w:hint="cs"/>
          <w:rtl/>
        </w:rPr>
        <w:t xml:space="preserve"> </w:t>
      </w:r>
    </w:p>
    <w:p w14:paraId="1E38A375" w14:textId="77777777" w:rsidR="00802D72" w:rsidRPr="00802D72" w:rsidRDefault="00802D72" w:rsidP="00DD31A7">
      <w:pPr>
        <w:pStyle w:val="ListParagraph"/>
        <w:numPr>
          <w:ilvl w:val="0"/>
          <w:numId w:val="32"/>
        </w:numPr>
        <w:tabs>
          <w:tab w:val="left" w:pos="752"/>
        </w:tabs>
        <w:spacing w:before="120"/>
        <w:rPr>
          <w:rtl/>
        </w:rPr>
      </w:pPr>
      <w:r w:rsidRPr="00802D72">
        <w:rPr>
          <w:rFonts w:hint="cs"/>
          <w:rtl/>
        </w:rPr>
        <w:t>האיגוד או מי מהחברים בו או החוברים לפנייה, לא יסמיכו אדם שלישי, לרבות בא כוח, יועץ מקצועי או שתדלן, להחליט עבור חברים באיגוד, או עבור החוברים לפנייה, להמליץ או לייעץ להם לנקוט פעולה או מדיניות כלשהן או להימנע מפעולה או מנקיטת מדיניות כלשהן, שלו התקיימו בין מתחרים היו עולות כדי הסדר כובל, או לבטא בשמם עמדה כזאת</w:t>
      </w:r>
      <w:r w:rsidR="00DD31A7">
        <w:rPr>
          <w:rFonts w:hint="cs"/>
          <w:rtl/>
        </w:rPr>
        <w:t>;</w:t>
      </w:r>
    </w:p>
    <w:p w14:paraId="7DE37214" w14:textId="77777777" w:rsidR="00802D72" w:rsidRPr="00802D72" w:rsidRDefault="00802D72" w:rsidP="002B5E2E">
      <w:pPr>
        <w:pStyle w:val="ListParagraph"/>
        <w:numPr>
          <w:ilvl w:val="0"/>
          <w:numId w:val="32"/>
        </w:numPr>
        <w:tabs>
          <w:tab w:val="left" w:pos="752"/>
        </w:tabs>
        <w:spacing w:before="120"/>
        <w:rPr>
          <w:rtl/>
        </w:rPr>
      </w:pPr>
      <w:r w:rsidRPr="00802D72">
        <w:rPr>
          <w:rFonts w:hint="cs"/>
          <w:rtl/>
        </w:rPr>
        <w:t xml:space="preserve">האיגוד או מי מהחברים בו, או החוברים לפנייה, לא יפנו במשותף או באמצעות נציג, לרשות המפקחת על מחירים או על היבטים אחרים של פעילות עסקית, שמטרתה או תוצאתה לקבוע באופן קולקטיבי מחירים או היבטים אחרים של הפעילות העסקית, כאשר הפרמטרים </w:t>
      </w:r>
      <w:r w:rsidRPr="00802D72">
        <w:rPr>
          <w:rFonts w:hint="cs"/>
          <w:rtl/>
        </w:rPr>
        <w:lastRenderedPageBreak/>
        <w:t>הרלוונטיים לפיקוח אינם זהים לגמרי בין המתחרים השונים.</w:t>
      </w:r>
    </w:p>
    <w:p w14:paraId="199C5A69" w14:textId="77777777" w:rsidR="00802D72" w:rsidRPr="00802D72" w:rsidRDefault="00802D72" w:rsidP="00E27BCD">
      <w:pPr>
        <w:pStyle w:val="ListParagraph"/>
        <w:numPr>
          <w:ilvl w:val="0"/>
          <w:numId w:val="23"/>
        </w:numPr>
        <w:tabs>
          <w:tab w:val="left" w:pos="32"/>
        </w:tabs>
        <w:spacing w:before="120"/>
        <w:ind w:hanging="686"/>
        <w:rPr>
          <w:rtl/>
        </w:rPr>
      </w:pPr>
      <w:r w:rsidRPr="00802D72">
        <w:rPr>
          <w:rFonts w:hint="cs"/>
          <w:rtl/>
        </w:rPr>
        <w:t xml:space="preserve">הוראות סעיף </w:t>
      </w:r>
      <w:r w:rsidR="00E27BCD">
        <w:rPr>
          <w:rFonts w:hint="cs"/>
          <w:rtl/>
        </w:rPr>
        <w:t>39</w:t>
      </w:r>
      <w:r w:rsidRPr="00802D72">
        <w:rPr>
          <w:rFonts w:hint="cs"/>
          <w:rtl/>
        </w:rPr>
        <w:t xml:space="preserve"> יחולו, בשינויים המחויבים, אף על ייצוג הענף בפני גופים ציבוריים שאינם רשויות שלטון ובתקשורת.</w:t>
      </w:r>
    </w:p>
    <w:p w14:paraId="1E452C6A" w14:textId="77777777" w:rsidR="00802D72" w:rsidRPr="00802D72" w:rsidRDefault="00802D72" w:rsidP="00802D72">
      <w:pPr>
        <w:tabs>
          <w:tab w:val="left" w:pos="752"/>
        </w:tabs>
        <w:spacing w:before="100" w:beforeAutospacing="1"/>
        <w:rPr>
          <w:u w:val="single"/>
          <w:rtl/>
        </w:rPr>
      </w:pPr>
      <w:r w:rsidRPr="00802D72">
        <w:rPr>
          <w:rFonts w:hint="cs"/>
          <w:rtl/>
        </w:rPr>
        <w:t xml:space="preserve">(ה) </w:t>
      </w:r>
      <w:r w:rsidRPr="00802D72">
        <w:rPr>
          <w:rFonts w:hint="cs"/>
          <w:u w:val="single"/>
          <w:rtl/>
        </w:rPr>
        <w:t>תנאי חברות באיגוד</w:t>
      </w:r>
    </w:p>
    <w:p w14:paraId="5EC58FCF" w14:textId="77777777" w:rsidR="00802D72" w:rsidRPr="00802D72" w:rsidRDefault="00802D72" w:rsidP="00802D72">
      <w:pPr>
        <w:pStyle w:val="ListParagraph"/>
        <w:numPr>
          <w:ilvl w:val="0"/>
          <w:numId w:val="23"/>
        </w:numPr>
        <w:tabs>
          <w:tab w:val="left" w:pos="32"/>
        </w:tabs>
        <w:spacing w:after="0"/>
        <w:ind w:hanging="686"/>
        <w:rPr>
          <w:rtl/>
        </w:rPr>
      </w:pPr>
      <w:r w:rsidRPr="00802D72">
        <w:rPr>
          <w:rFonts w:hint="cs"/>
          <w:rtl/>
        </w:rPr>
        <w:t>כאשר החברות באיגוד העסקי מקנה גישה לנכס, מידע או שירות שעשויה להיות לו השפעה משמעותית על כושר התחרות של עוסק או כשהיא עשויה להקנות גישה לפעילות כלכלית משמעותית או להקל עליה משמעותית, הרי אי קבלתו לאיגוד או הוצאתו ממנו עלולה לחסום או להגביל את יכולתו להתחרות בענף ובכך למנוע או להפחית את התחרות בעסקים ואף להוות החרמה.</w:t>
      </w:r>
      <w:r w:rsidRPr="00802D72">
        <w:rPr>
          <w:rStyle w:val="FootnoteReference"/>
          <w:rtl/>
        </w:rPr>
        <w:footnoteReference w:id="33"/>
      </w:r>
      <w:r w:rsidRPr="00802D72">
        <w:rPr>
          <w:rFonts w:hint="cs"/>
          <w:rtl/>
        </w:rPr>
        <w:t xml:space="preserve">  </w:t>
      </w:r>
    </w:p>
    <w:p w14:paraId="5C2AE5F8" w14:textId="77777777" w:rsidR="00802D72" w:rsidRPr="00802D72" w:rsidRDefault="00802D72" w:rsidP="00802D72">
      <w:pPr>
        <w:pStyle w:val="ListParagraph"/>
        <w:numPr>
          <w:ilvl w:val="0"/>
          <w:numId w:val="23"/>
        </w:numPr>
        <w:tabs>
          <w:tab w:val="left" w:pos="32"/>
        </w:tabs>
        <w:spacing w:after="0"/>
        <w:ind w:hanging="686"/>
        <w:rPr>
          <w:rtl/>
        </w:rPr>
      </w:pPr>
      <w:r w:rsidRPr="00802D72">
        <w:rPr>
          <w:rFonts w:hint="cs"/>
          <w:rtl/>
        </w:rPr>
        <w:t>ככל שחברות באיגוד מקנה גישה לנכס, מידע או שירות שעשויה להיות לו השפעה משמעותית על כושר התחרות של עוסק או שיש בה כדי להקל משמעותית על גישה לנכס או לשירות או על יכולת השימוש בו (לרבות כאשר לאיגוד שליטה על אספקת הנכס או השירות או על  הפעלתו, או כאשר יש לאיגוד חלק באותו נכס או שירות או במי שמספק אותו, או כאשר יש לו השפעה על הגישה או יכולת השימוש באותו נכס או שירות) יקפיד האיגוד על מילוי ההוראות הבאות בנוגע לקביעת תנאים לחברות באיגוד ולהפסקתה:</w:t>
      </w:r>
    </w:p>
    <w:p w14:paraId="74C538E7" w14:textId="77777777" w:rsidR="00802D72" w:rsidRPr="00802D72" w:rsidRDefault="00802D72" w:rsidP="002B5E2E">
      <w:pPr>
        <w:pStyle w:val="ListParagraph"/>
        <w:numPr>
          <w:ilvl w:val="0"/>
          <w:numId w:val="34"/>
        </w:numPr>
        <w:tabs>
          <w:tab w:val="left" w:pos="752"/>
        </w:tabs>
        <w:spacing w:before="120"/>
        <w:rPr>
          <w:rtl/>
        </w:rPr>
      </w:pPr>
      <w:r w:rsidRPr="00802D72">
        <w:rPr>
          <w:rFonts w:hint="cs"/>
          <w:rtl/>
        </w:rPr>
        <w:t xml:space="preserve">תנאי החברות באיגוד עסקי יהיו שוויוניים, ברורים ומבוססים על סטנדרטים אובייקטיביים, בהתאם לתכליות האיגוד העסקי. האיגוד לא יקבע תנאי חברות בלתי פרופורציוניים או בלתי סבירים שיש בהם כדי להגביל שלא </w:t>
      </w:r>
      <w:r w:rsidRPr="00802D72">
        <w:rPr>
          <w:rFonts w:hint="cs"/>
          <w:rtl/>
        </w:rPr>
        <w:lastRenderedPageBreak/>
        <w:t xml:space="preserve">לצורך חברות באיגוד של עוסקים בענף, כגון דמי חברות, ותק פעילות או איתנות פיננסית, שאינם סבירים בהתחשב בפעילות האיגוד ומטרותיו; </w:t>
      </w:r>
    </w:p>
    <w:p w14:paraId="4D24DFA4" w14:textId="77777777" w:rsidR="00802D72" w:rsidRPr="00802D72" w:rsidRDefault="00802D72" w:rsidP="002B5E2E">
      <w:pPr>
        <w:pStyle w:val="ListParagraph"/>
        <w:numPr>
          <w:ilvl w:val="0"/>
          <w:numId w:val="34"/>
        </w:numPr>
        <w:tabs>
          <w:tab w:val="left" w:pos="752"/>
        </w:tabs>
        <w:spacing w:before="120"/>
        <w:rPr>
          <w:rtl/>
        </w:rPr>
      </w:pPr>
      <w:r w:rsidRPr="00802D72">
        <w:rPr>
          <w:rFonts w:hint="cs"/>
          <w:rtl/>
        </w:rPr>
        <w:t xml:space="preserve">האיגוד לא יתנה חברותו של אדם באיגוד העסקי באישור או בהסכמת חברי האיגוד, כולם או מי מהם, או באישור או הסכמת ממלאי תפקידים באיגוד, ובתנאי שהמבקש להיות חבר באיגוד עמד בתנאי החברות העונים על האמור בסעיף קטן (1) לעיל; </w:t>
      </w:r>
    </w:p>
    <w:p w14:paraId="1AA47BCF" w14:textId="77777777" w:rsidR="00802D72" w:rsidRPr="00802D72" w:rsidRDefault="00802D72" w:rsidP="002B5E2E">
      <w:pPr>
        <w:pStyle w:val="ListParagraph"/>
        <w:numPr>
          <w:ilvl w:val="0"/>
          <w:numId w:val="34"/>
        </w:numPr>
        <w:tabs>
          <w:tab w:val="left" w:pos="752"/>
        </w:tabs>
        <w:spacing w:before="120"/>
        <w:rPr>
          <w:rtl/>
        </w:rPr>
      </w:pPr>
      <w:r w:rsidRPr="00802D72">
        <w:rPr>
          <w:rFonts w:hint="cs"/>
          <w:rtl/>
        </w:rPr>
        <w:t>קיימת ערכאה אובייקטיבית ובלתי תלויה (לרבות ערכאה שיפוטית), המוסמכת לדון בהחלטות האיגוד בענייני דחיית בקשה לחברות באיגוד, הפסקת חברות בו או השעייתה, התניית תנאים לחברות, תשלומים וקנסות הקשורים בחברות או בהפסקת חברות. ערכאה זו תהיה נגישה לכל חבר האיגוד ולכל אדם המבקש להיות חבר באיגוד.</w:t>
      </w:r>
    </w:p>
    <w:p w14:paraId="332E76E3" w14:textId="77777777" w:rsidR="00802D72" w:rsidRPr="00802D72" w:rsidRDefault="00802D72" w:rsidP="00802D72">
      <w:pPr>
        <w:tabs>
          <w:tab w:val="left" w:pos="752"/>
        </w:tabs>
        <w:spacing w:before="100" w:beforeAutospacing="1"/>
        <w:rPr>
          <w:rtl/>
        </w:rPr>
      </w:pPr>
      <w:r w:rsidRPr="00802D72">
        <w:rPr>
          <w:rFonts w:hint="cs"/>
          <w:rtl/>
        </w:rPr>
        <w:t xml:space="preserve">(ו) </w:t>
      </w:r>
      <w:r w:rsidRPr="00802D72">
        <w:rPr>
          <w:rFonts w:hint="cs"/>
          <w:u w:val="single"/>
          <w:rtl/>
        </w:rPr>
        <w:t>כנסים מקצועיים, ירידי מסחר, תצוגות, וזירות מסחר אחרות</w:t>
      </w:r>
    </w:p>
    <w:p w14:paraId="1893AF45" w14:textId="77777777" w:rsidR="00802D72" w:rsidRPr="00802D72" w:rsidRDefault="00802D72" w:rsidP="00B7515E">
      <w:pPr>
        <w:pStyle w:val="ListParagraph"/>
        <w:numPr>
          <w:ilvl w:val="0"/>
          <w:numId w:val="23"/>
        </w:numPr>
        <w:tabs>
          <w:tab w:val="left" w:pos="32"/>
        </w:tabs>
        <w:spacing w:after="0"/>
        <w:ind w:hanging="686"/>
        <w:rPr>
          <w:rtl/>
          <w:lang w:eastAsia="he-IL"/>
        </w:rPr>
      </w:pPr>
      <w:r w:rsidRPr="00802D72">
        <w:rPr>
          <w:rFonts w:hint="cs"/>
          <w:rtl/>
          <w:lang w:eastAsia="he-IL"/>
        </w:rPr>
        <w:t xml:space="preserve">כנסים, ירידי מסחר, </w:t>
      </w:r>
      <w:r w:rsidRPr="00802D72">
        <w:rPr>
          <w:rFonts w:hint="cs"/>
          <w:rtl/>
        </w:rPr>
        <w:t>תצוגות</w:t>
      </w:r>
      <w:r w:rsidRPr="00802D72">
        <w:rPr>
          <w:rFonts w:hint="cs"/>
          <w:rtl/>
          <w:lang w:eastAsia="he-IL"/>
        </w:rPr>
        <w:t xml:space="preserve"> וזירות מסחר אחרות מזמנים יחדיו גורמים שונים הפועלים בענף, ספקים וצרכנים בפועל ובכ</w:t>
      </w:r>
      <w:r w:rsidR="002A365A">
        <w:rPr>
          <w:rFonts w:hint="cs"/>
          <w:rtl/>
          <w:lang w:eastAsia="he-IL"/>
        </w:rPr>
        <w:t>ו</w:t>
      </w:r>
      <w:r w:rsidRPr="00802D72">
        <w:rPr>
          <w:rFonts w:hint="cs"/>
          <w:rtl/>
          <w:lang w:eastAsia="he-IL"/>
        </w:rPr>
        <w:t xml:space="preserve">ח ומקנים להם אמצעי חשיפה והצגת מוצרים חדשים. לאירועים אלה עשויה להיות חשיבות רבה לקידום הענף, אולם מטבע הדברים, הם מעוררים חששות תחרותיים המאפיינים שולחן משותף בין מתחרים, שעליהם עמדנו בפרק ד(א) לעיל ועל כן, יחול עליהם, בשינויים המחויבים, ההנחיות, המפורטות בסעיפים </w:t>
      </w:r>
      <w:r w:rsidR="00B7515E">
        <w:rPr>
          <w:rFonts w:hint="cs"/>
          <w:rtl/>
          <w:lang w:eastAsia="he-IL"/>
        </w:rPr>
        <w:t>24</w:t>
      </w:r>
      <w:r w:rsidRPr="00802D72">
        <w:rPr>
          <w:rFonts w:hint="cs"/>
          <w:rtl/>
          <w:lang w:eastAsia="he-IL"/>
        </w:rPr>
        <w:t xml:space="preserve">-25 לעיל. הוראות אלה יחולו אף על אירועים חברתיים שבהם משתתפים מתחרים. </w:t>
      </w:r>
    </w:p>
    <w:p w14:paraId="74B7A482" w14:textId="7FB6BDC9" w:rsidR="00802D72" w:rsidRPr="00231037" w:rsidRDefault="00802D72" w:rsidP="00A415BB">
      <w:pPr>
        <w:pStyle w:val="ListParagraph"/>
        <w:numPr>
          <w:ilvl w:val="0"/>
          <w:numId w:val="23"/>
        </w:numPr>
        <w:tabs>
          <w:tab w:val="left" w:pos="32"/>
        </w:tabs>
        <w:spacing w:after="0"/>
        <w:ind w:hanging="686"/>
        <w:rPr>
          <w:rtl/>
          <w:lang w:eastAsia="he-IL"/>
        </w:rPr>
      </w:pPr>
      <w:r w:rsidRPr="00802D72">
        <w:rPr>
          <w:rFonts w:hint="cs"/>
          <w:rtl/>
          <w:lang w:eastAsia="he-IL"/>
        </w:rPr>
        <w:t xml:space="preserve">על איגוד עסקי, היוזם, מארגן, מנהל או נותן חסותו לכנס מקצועי, יריד מסחרי, תערוכה או זירת מסחר דומה, שעשויה להיות לו השפעה משמעותית על כושר התחרות של עוסק או שהוא עשוי </w:t>
      </w:r>
      <w:r w:rsidRPr="00802D72">
        <w:rPr>
          <w:rFonts w:hint="cs"/>
          <w:rtl/>
          <w:lang w:eastAsia="he-IL"/>
        </w:rPr>
        <w:lastRenderedPageBreak/>
        <w:t>להקנות גישה לפעילות כלכלית משמעותית או להקל עליה משמעותית, יחולו, בשינויים המחויבים, ההוראות המפורטות ב</w:t>
      </w:r>
      <w:r w:rsidR="00B7515E">
        <w:rPr>
          <w:rFonts w:hint="cs"/>
          <w:rtl/>
          <w:lang w:eastAsia="he-IL"/>
        </w:rPr>
        <w:t xml:space="preserve">סעיפים </w:t>
      </w:r>
      <w:r w:rsidR="00A415BB">
        <w:rPr>
          <w:rFonts w:hint="cs"/>
          <w:rtl/>
          <w:lang w:eastAsia="he-IL"/>
        </w:rPr>
        <w:t>40-41</w:t>
      </w:r>
      <w:r w:rsidRPr="00802D72">
        <w:rPr>
          <w:rFonts w:hint="cs"/>
          <w:rtl/>
          <w:lang w:eastAsia="he-IL"/>
        </w:rPr>
        <w:t xml:space="preserve">, וכך גם על ייזום, ארגון, מתן חסות או סיוע לאירועים או מפגשים חברתיים המקבצים מתחרים. זאת, בהתחשב בנסיבות העניין ובכלל זה טיב האירוע, קיומם של אירועים דומים אחרים, מידת החשיפה או הפעילות שהשתתפות בכינוס עשויה להעניק ביחס לכלל הפעילות בענף וכיו"ב. </w:t>
      </w:r>
    </w:p>
    <w:p w14:paraId="442F0324" w14:textId="77777777" w:rsidR="00802D72" w:rsidRPr="00802D72" w:rsidRDefault="00231037" w:rsidP="00802D72">
      <w:pPr>
        <w:spacing w:before="100" w:beforeAutospacing="1"/>
        <w:rPr>
          <w:rFonts w:ascii="Arial" w:hAnsi="Arial"/>
          <w:u w:val="single"/>
          <w:rtl/>
        </w:rPr>
      </w:pPr>
      <w:r w:rsidRPr="00802D72">
        <w:rPr>
          <w:rFonts w:ascii="Arial" w:hAnsi="Arial" w:hint="cs"/>
          <w:rtl/>
        </w:rPr>
        <w:t xml:space="preserve"> </w:t>
      </w:r>
      <w:r w:rsidR="00802D72" w:rsidRPr="00802D72">
        <w:rPr>
          <w:rFonts w:ascii="Arial" w:hAnsi="Arial" w:hint="cs"/>
          <w:rtl/>
        </w:rPr>
        <w:t xml:space="preserve">(ז) </w:t>
      </w:r>
      <w:r w:rsidR="00802D72" w:rsidRPr="00802D72">
        <w:rPr>
          <w:rFonts w:ascii="Arial" w:hAnsi="Arial" w:hint="cs"/>
          <w:u w:val="single"/>
          <w:rtl/>
        </w:rPr>
        <w:t xml:space="preserve">הסדרה עצמית וסטנדרטיזציה </w:t>
      </w:r>
    </w:p>
    <w:p w14:paraId="5A9855EA" w14:textId="77777777" w:rsidR="00231037" w:rsidRDefault="00802D72" w:rsidP="00231037">
      <w:pPr>
        <w:pStyle w:val="ListParagraph"/>
        <w:numPr>
          <w:ilvl w:val="0"/>
          <w:numId w:val="23"/>
        </w:numPr>
        <w:tabs>
          <w:tab w:val="left" w:pos="32"/>
        </w:tabs>
        <w:spacing w:after="0"/>
        <w:ind w:hanging="686"/>
        <w:rPr>
          <w:lang w:eastAsia="he-IL"/>
        </w:rPr>
      </w:pPr>
      <w:r w:rsidRPr="00231037">
        <w:rPr>
          <w:rFonts w:hint="cs"/>
          <w:rtl/>
          <w:lang w:eastAsia="he-IL"/>
        </w:rPr>
        <w:t>איגודים עסקיים עשויים להיות מעורבים בהסדרה של הפעילות בענף ובכלל זה קביעת כללי אתיקה ונהלי התנהלות מקצועית, מעורבות</w:t>
      </w:r>
      <w:r w:rsidRPr="00802D72">
        <w:rPr>
          <w:rFonts w:hint="cs"/>
          <w:rtl/>
          <w:lang w:eastAsia="he-IL"/>
        </w:rPr>
        <w:t xml:space="preserve"> בסטנדרטיזציה המקצועית (תקנים, סטנדרטים מקצועיים ומינוח מקצועי אחיד) ובמנגנוני פיקוח ואכיפה הקשורים בהם. בדומה, איגודים עסקיים עשויים להשתתף בתיוג מוצרים או שירותים בהתאם לקריטריונים מסוימים, או לסטנדרטים ספציפיים של איכות, הקרובים לתחום פעילותו או עיסוקו של הענף.</w:t>
      </w:r>
      <w:r w:rsidRPr="00231037">
        <w:rPr>
          <w:rFonts w:hint="cs"/>
          <w:rtl/>
          <w:lang w:eastAsia="he-IL"/>
        </w:rPr>
        <w:t xml:space="preserve"> פעילות זו של איגוד עסקי עשויה להתקיים בהתאם להסמכה בחיקוק או מטעם רשות מוסמכת או באופן וולונטרי. </w:t>
      </w:r>
    </w:p>
    <w:p w14:paraId="2124EA0C" w14:textId="77777777" w:rsidR="00231037" w:rsidRPr="00231037" w:rsidRDefault="00802D72" w:rsidP="00231037">
      <w:pPr>
        <w:pStyle w:val="ListParagraph"/>
        <w:numPr>
          <w:ilvl w:val="0"/>
          <w:numId w:val="23"/>
        </w:numPr>
        <w:tabs>
          <w:tab w:val="left" w:pos="32"/>
        </w:tabs>
        <w:spacing w:after="0"/>
        <w:ind w:hanging="686"/>
        <w:rPr>
          <w:lang w:eastAsia="he-IL"/>
        </w:rPr>
      </w:pPr>
      <w:r w:rsidRPr="00231037">
        <w:rPr>
          <w:rFonts w:ascii="Arial" w:hAnsi="Arial" w:hint="cs"/>
          <w:rtl/>
        </w:rPr>
        <w:t xml:space="preserve">מעורבות האיגוד בתחום ההסדרה העצמית והסטנדרטיזציה עשויה להיות מועילה לענף ולציבור, כאשר היכרותו עם הענף ובקיאותו במאטריה המקצועית יכולות לתרום תרומה ממשית להסדרה וכאשר לעוסקים בענף יש אינטרס אמיתי בהסדרה  מקצועית מיטבית ותמריץ להשקיע בה. עם זאת, פעילות האיגוד בתחומים אלה עשויה להיות נגועה בבעיית נציג ובחשש לפגיעה בתחרות. הסדרת כללי ההתנהלות וסטנדרטים מקצועיים בידי העוסקים בענף, שלהם אינטרסים כלכליים ואחרים, שאינם זהים לאינטרס של הענף בכללו או של הציבור, עלולה להביא לפגיעה בתחרות, בין במכוון ובין אגב קידום אינטרסים לגיטימיים במהותם. </w:t>
      </w:r>
    </w:p>
    <w:p w14:paraId="20338163" w14:textId="77777777" w:rsidR="00231037" w:rsidRPr="00231037" w:rsidRDefault="00802D72" w:rsidP="00231037">
      <w:pPr>
        <w:pStyle w:val="ListParagraph"/>
        <w:numPr>
          <w:ilvl w:val="0"/>
          <w:numId w:val="23"/>
        </w:numPr>
        <w:tabs>
          <w:tab w:val="left" w:pos="32"/>
        </w:tabs>
        <w:spacing w:after="0"/>
        <w:ind w:hanging="686"/>
        <w:rPr>
          <w:lang w:eastAsia="he-IL"/>
        </w:rPr>
      </w:pPr>
      <w:r w:rsidRPr="00802D72">
        <w:rPr>
          <w:rFonts w:hint="cs"/>
          <w:rtl/>
        </w:rPr>
        <w:lastRenderedPageBreak/>
        <w:t>קביעת כללי התנהלות מקצועית או סטנדרטים, בין במסגרת איגוד עסקי ובין שלא במסגרתו, עלולה לשמש אמצעי להקשות על כניסת שחקנים חדשים או מוצרים חדשים לענף או להביא להוצאת שחקנים או מוצרים קיימים מן השוק, להקל על תיאום, להביא לצמצום התחרות על איכות המוצר או השירות ולצמצום מגוון המוצרים או השירותים המסופקים. היא עלולה אף לשמש אמצעי להגנה על תיאום מפני האיום הכרוך בכניסת שחקנים חדשים לפעילות בענף.</w:t>
      </w:r>
      <w:r w:rsidRPr="00802D72">
        <w:rPr>
          <w:rStyle w:val="FootnoteReference"/>
          <w:rFonts w:ascii="Arial" w:hAnsi="Arial"/>
          <w:rtl/>
        </w:rPr>
        <w:footnoteReference w:id="34"/>
      </w:r>
      <w:r w:rsidRPr="00802D72">
        <w:rPr>
          <w:rFonts w:hint="cs"/>
          <w:rtl/>
        </w:rPr>
        <w:t xml:space="preserve"> </w:t>
      </w:r>
      <w:r w:rsidRPr="00231037">
        <w:rPr>
          <w:rFonts w:ascii="Arial" w:hAnsi="Arial" w:hint="cs"/>
          <w:rtl/>
        </w:rPr>
        <w:t xml:space="preserve"> </w:t>
      </w:r>
    </w:p>
    <w:p w14:paraId="72F78130" w14:textId="77777777" w:rsidR="00802D72" w:rsidRPr="00231037" w:rsidRDefault="00802D72" w:rsidP="00231037">
      <w:pPr>
        <w:pStyle w:val="ListParagraph"/>
        <w:numPr>
          <w:ilvl w:val="0"/>
          <w:numId w:val="23"/>
        </w:numPr>
        <w:tabs>
          <w:tab w:val="left" w:pos="32"/>
        </w:tabs>
        <w:spacing w:after="0"/>
        <w:ind w:hanging="686"/>
        <w:rPr>
          <w:rtl/>
          <w:lang w:eastAsia="he-IL"/>
        </w:rPr>
      </w:pPr>
      <w:r w:rsidRPr="00802D72">
        <w:rPr>
          <w:rFonts w:hint="cs"/>
          <w:rtl/>
        </w:rPr>
        <w:t>על איגוד עסקי המבקש לפעול כדין בתחום ההסדרה עצמית והסטנדרטיזציה לנהל את פעילותו בתחום מתוך מודעות לחששות האמורים.</w:t>
      </w:r>
      <w:r w:rsidRPr="00231037">
        <w:rPr>
          <w:rFonts w:ascii="Arial" w:hAnsi="Arial" w:hint="cs"/>
          <w:rtl/>
        </w:rPr>
        <w:t xml:space="preserve"> </w:t>
      </w:r>
    </w:p>
    <w:p w14:paraId="1C24008E" w14:textId="77777777" w:rsidR="00802D72" w:rsidRPr="00802D72" w:rsidRDefault="00802D72" w:rsidP="00802D72">
      <w:pPr>
        <w:spacing w:before="100" w:beforeAutospacing="1"/>
        <w:rPr>
          <w:rFonts w:ascii="Arial" w:hAnsi="Arial"/>
          <w:rtl/>
        </w:rPr>
      </w:pPr>
      <w:r w:rsidRPr="00802D72">
        <w:rPr>
          <w:rFonts w:ascii="Arial" w:hAnsi="Arial" w:hint="cs"/>
          <w:rtl/>
        </w:rPr>
        <w:t xml:space="preserve">(ח) </w:t>
      </w:r>
      <w:r w:rsidRPr="00802D72">
        <w:rPr>
          <w:rFonts w:ascii="Arial" w:hAnsi="Arial" w:hint="cs"/>
          <w:u w:val="single"/>
          <w:rtl/>
        </w:rPr>
        <w:t xml:space="preserve">מיזמים משותפים של האיגוד </w:t>
      </w:r>
    </w:p>
    <w:p w14:paraId="2C3613A4" w14:textId="77777777" w:rsidR="00231037" w:rsidRDefault="00802D72" w:rsidP="00231037">
      <w:pPr>
        <w:pStyle w:val="ListParagraph"/>
        <w:numPr>
          <w:ilvl w:val="0"/>
          <w:numId w:val="23"/>
        </w:numPr>
        <w:tabs>
          <w:tab w:val="left" w:pos="32"/>
        </w:tabs>
        <w:spacing w:after="0"/>
        <w:ind w:hanging="686"/>
      </w:pPr>
      <w:r w:rsidRPr="00231037">
        <w:rPr>
          <w:rFonts w:hint="cs"/>
          <w:rtl/>
        </w:rPr>
        <w:t xml:space="preserve">איגודים עסקיים עשויים להיות מעורבים בפעילויות עסקיות מסוגים שונים. פעולות שהן במובהק נלוות לפעילות האיגוד והשפעתן על התחרות בענף או בין המתחרים זניחה, כגון רכישת ציוד משרדי לצרכי האיגוד, גביית דמי חבר סבירים או גביית תשלום עבור כיסוי עלות פעילות מובהקת של האיגוד, כגון הוצאת פרסום מקצועי, אינן מעוררות, ככלל, עניין תחרותי. לעומתן, פעולות הנוגעות לליבת הפעילות העסקית, כגון שיווק משותף, רכש משותף או מיזמי מחקר ופיתוח משותפים יש לבחון על פי מהותן לאור דיני </w:t>
      </w:r>
      <w:r w:rsidRPr="00231037">
        <w:rPr>
          <w:rFonts w:hint="cs"/>
          <w:rtl/>
        </w:rPr>
        <w:lastRenderedPageBreak/>
        <w:t>המיזמים המשותפים בין מתחרים,</w:t>
      </w:r>
      <w:r w:rsidRPr="00231037">
        <w:rPr>
          <w:vertAlign w:val="superscript"/>
          <w:rtl/>
        </w:rPr>
        <w:footnoteReference w:id="35"/>
      </w:r>
      <w:r w:rsidRPr="00231037">
        <w:rPr>
          <w:rFonts w:hint="cs"/>
          <w:rtl/>
        </w:rPr>
        <w:t xml:space="preserve"> </w:t>
      </w:r>
      <w:r w:rsidRPr="00231037">
        <w:rPr>
          <w:rFonts w:hint="eastAsia"/>
          <w:rtl/>
        </w:rPr>
        <w:t>ופטור</w:t>
      </w:r>
      <w:r w:rsidRPr="00231037">
        <w:rPr>
          <w:rtl/>
        </w:rPr>
        <w:t xml:space="preserve"> </w:t>
      </w:r>
      <w:r w:rsidRPr="00231037">
        <w:rPr>
          <w:rFonts w:hint="eastAsia"/>
          <w:rtl/>
        </w:rPr>
        <w:t>הסוג</w:t>
      </w:r>
      <w:r w:rsidRPr="00231037">
        <w:rPr>
          <w:rtl/>
        </w:rPr>
        <w:t xml:space="preserve"> </w:t>
      </w:r>
      <w:r w:rsidRPr="00231037">
        <w:rPr>
          <w:rFonts w:hint="eastAsia"/>
          <w:rtl/>
        </w:rPr>
        <w:t>הקבוע</w:t>
      </w:r>
      <w:r w:rsidRPr="00231037">
        <w:rPr>
          <w:rtl/>
        </w:rPr>
        <w:t xml:space="preserve"> </w:t>
      </w:r>
      <w:r w:rsidRPr="00231037">
        <w:rPr>
          <w:rFonts w:hint="eastAsia"/>
          <w:rtl/>
        </w:rPr>
        <w:t>בכללי</w:t>
      </w:r>
      <w:r w:rsidRPr="00231037">
        <w:rPr>
          <w:rtl/>
        </w:rPr>
        <w:t xml:space="preserve"> </w:t>
      </w:r>
      <w:r w:rsidRPr="00231037">
        <w:rPr>
          <w:rFonts w:hint="eastAsia"/>
          <w:rtl/>
        </w:rPr>
        <w:t>ההגבלים</w:t>
      </w:r>
      <w:r w:rsidRPr="00231037">
        <w:rPr>
          <w:rtl/>
        </w:rPr>
        <w:t xml:space="preserve"> </w:t>
      </w:r>
      <w:r w:rsidRPr="00231037">
        <w:rPr>
          <w:rFonts w:hint="eastAsia"/>
          <w:rtl/>
        </w:rPr>
        <w:t>העסקיים</w:t>
      </w:r>
      <w:r w:rsidRPr="00231037">
        <w:rPr>
          <w:rtl/>
        </w:rPr>
        <w:t xml:space="preserve"> </w:t>
      </w:r>
      <w:r w:rsidRPr="00231037">
        <w:rPr>
          <w:rFonts w:hint="eastAsia"/>
          <w:rtl/>
        </w:rPr>
        <w:t>לעניין</w:t>
      </w:r>
      <w:r w:rsidRPr="00231037">
        <w:rPr>
          <w:rtl/>
        </w:rPr>
        <w:t xml:space="preserve"> </w:t>
      </w:r>
      <w:r w:rsidRPr="00231037">
        <w:rPr>
          <w:rFonts w:hint="eastAsia"/>
          <w:rtl/>
        </w:rPr>
        <w:t>מיזמים</w:t>
      </w:r>
      <w:r w:rsidRPr="00231037">
        <w:rPr>
          <w:rtl/>
        </w:rPr>
        <w:t xml:space="preserve"> </w:t>
      </w:r>
      <w:r w:rsidRPr="00231037">
        <w:rPr>
          <w:rFonts w:hint="eastAsia"/>
          <w:rtl/>
        </w:rPr>
        <w:t>משותפים</w:t>
      </w:r>
      <w:r w:rsidRPr="00231037">
        <w:rPr>
          <w:rFonts w:hint="cs"/>
          <w:rtl/>
        </w:rPr>
        <w:t>.</w:t>
      </w:r>
      <w:r w:rsidRPr="00231037">
        <w:rPr>
          <w:vertAlign w:val="superscript"/>
          <w:rtl/>
        </w:rPr>
        <w:footnoteReference w:id="36"/>
      </w:r>
      <w:r w:rsidRPr="00231037">
        <w:rPr>
          <w:rFonts w:hint="cs"/>
          <w:vertAlign w:val="superscript"/>
          <w:rtl/>
        </w:rPr>
        <w:t xml:space="preserve"> </w:t>
      </w:r>
      <w:r w:rsidRPr="00231037">
        <w:rPr>
          <w:rFonts w:hint="cs"/>
          <w:rtl/>
        </w:rPr>
        <w:t xml:space="preserve"> </w:t>
      </w:r>
    </w:p>
    <w:p w14:paraId="319C3C11" w14:textId="77777777" w:rsidR="00802D72" w:rsidRDefault="00802D72" w:rsidP="00231037">
      <w:pPr>
        <w:pStyle w:val="ListParagraph"/>
        <w:numPr>
          <w:ilvl w:val="0"/>
          <w:numId w:val="23"/>
        </w:numPr>
        <w:tabs>
          <w:tab w:val="left" w:pos="32"/>
        </w:tabs>
        <w:spacing w:after="0"/>
        <w:ind w:hanging="686"/>
      </w:pPr>
      <w:r w:rsidRPr="00231037">
        <w:rPr>
          <w:rFonts w:ascii="Arial" w:hAnsi="Arial" w:hint="cs"/>
          <w:rtl/>
        </w:rPr>
        <w:t>פעולות אחרות של האיגוד העסקי עשויות להוות הסדרים כובלים בהתאם לנסיבות העניין. על האיגוד העסקי לוודא, בהתחשב במכלול נסיבות העניין, כי אינן מהוות הסדר כובל, ולחלופין לוודא כי ההסדר הכובל מאושר כדין.</w:t>
      </w:r>
    </w:p>
    <w:p w14:paraId="4756656B" w14:textId="77777777" w:rsidR="00264BE8" w:rsidRPr="00231037" w:rsidRDefault="00264BE8" w:rsidP="00264BE8">
      <w:pPr>
        <w:pStyle w:val="ListParagraph"/>
        <w:tabs>
          <w:tab w:val="left" w:pos="32"/>
        </w:tabs>
        <w:spacing w:after="0"/>
        <w:rPr>
          <w:rtl/>
        </w:rPr>
      </w:pPr>
    </w:p>
    <w:p w14:paraId="587DA7CA" w14:textId="77777777" w:rsidR="00802D72" w:rsidRPr="002B5E2E" w:rsidRDefault="00802D72" w:rsidP="002B5E2E">
      <w:pPr>
        <w:pStyle w:val="Heading1"/>
        <w:keepNext w:val="0"/>
        <w:keepLines w:val="0"/>
        <w:numPr>
          <w:ilvl w:val="0"/>
          <w:numId w:val="22"/>
        </w:numPr>
        <w:spacing w:before="120" w:after="120"/>
        <w:ind w:left="714" w:hanging="357"/>
        <w:jc w:val="left"/>
        <w:rPr>
          <w:rFonts w:ascii="Times New Roman" w:hAnsi="Times New Roman"/>
          <w:b w:val="0"/>
          <w:bCs w:val="0"/>
          <w:sz w:val="24"/>
          <w:szCs w:val="24"/>
        </w:rPr>
      </w:pPr>
      <w:r w:rsidRPr="002B5E2E">
        <w:rPr>
          <w:rFonts w:hint="cs"/>
          <w:sz w:val="24"/>
          <w:szCs w:val="24"/>
          <w:rtl/>
        </w:rPr>
        <w:t>סוף דבר</w:t>
      </w:r>
    </w:p>
    <w:p w14:paraId="679ADC21" w14:textId="77777777" w:rsidR="00231037" w:rsidRDefault="00802D72" w:rsidP="00231037">
      <w:pPr>
        <w:pStyle w:val="ListParagraph"/>
        <w:numPr>
          <w:ilvl w:val="0"/>
          <w:numId w:val="23"/>
        </w:numPr>
        <w:tabs>
          <w:tab w:val="left" w:pos="32"/>
        </w:tabs>
        <w:spacing w:after="0"/>
        <w:ind w:hanging="686"/>
        <w:rPr>
          <w:rFonts w:ascii="Arial" w:hAnsi="Arial"/>
        </w:rPr>
      </w:pPr>
      <w:r w:rsidRPr="00231037">
        <w:rPr>
          <w:rFonts w:ascii="Arial" w:hAnsi="Arial" w:hint="cs"/>
          <w:rtl/>
        </w:rPr>
        <w:t xml:space="preserve">חבירת מתחרים באיגוד עסקי, הגם שככלל אינה מהווה הסדר כובל כשלעצמה, מעוררת שורת חששות לפגיעה בתחרות ויכולה בנסיבות מסוימות להניב הסדרים כובלים אסורים. על האיגוד העסקי להתנהל בהתאם לכללי התנהלות שימזערו חששות אלה וירחיקו אותו ואת החברים בו מהפרת הדין. על כללי התנהגות אלה עמדנו בגילוי הדעת. </w:t>
      </w:r>
    </w:p>
    <w:p w14:paraId="3AFBBF78" w14:textId="77777777" w:rsidR="00802D72" w:rsidRPr="00231037" w:rsidRDefault="00802D72" w:rsidP="00706E81">
      <w:pPr>
        <w:pStyle w:val="ListParagraph"/>
        <w:numPr>
          <w:ilvl w:val="0"/>
          <w:numId w:val="23"/>
        </w:numPr>
        <w:tabs>
          <w:tab w:val="left" w:pos="32"/>
        </w:tabs>
        <w:spacing w:after="0"/>
        <w:ind w:hanging="686"/>
        <w:rPr>
          <w:rFonts w:ascii="Arial" w:hAnsi="Arial"/>
          <w:rtl/>
        </w:rPr>
      </w:pPr>
      <w:r w:rsidRPr="00802D72">
        <w:rPr>
          <w:rFonts w:hint="cs"/>
          <w:rtl/>
        </w:rPr>
        <w:t xml:space="preserve">על האיגוד העסקי המבקש להרחיק עצמו מהפרת הדין לכלול בתקנונו או במסמך אחר המעגן את התנהלותו הוראה המחייבת לקיים את פעילות האיגוד באופן העולה בקנה אחד עם דיני </w:t>
      </w:r>
      <w:r w:rsidR="00706E81">
        <w:rPr>
          <w:rFonts w:hint="cs"/>
          <w:rtl/>
        </w:rPr>
        <w:t>התחרות</w:t>
      </w:r>
      <w:r w:rsidRPr="00802D72">
        <w:rPr>
          <w:rFonts w:hint="cs"/>
          <w:rtl/>
        </w:rPr>
        <w:t xml:space="preserve">. על האיגוד לפעול ככל הניתן באופן סביר כדי להבטיח כי משרדיו, מוסדותיו, פעילותו השוטפת והמיוחדת, כנסים ואירועים חברתיים שהוא עורך או שהוא פורש עליהם חסותו, לא ישמשו זירה לתיאום אסור בין בעלי עסקים או להסדרים כובלים אחרים ולהביא </w:t>
      </w:r>
      <w:r w:rsidRPr="00802D72">
        <w:rPr>
          <w:rFonts w:hint="cs"/>
          <w:rtl/>
        </w:rPr>
        <w:lastRenderedPageBreak/>
        <w:t xml:space="preserve">לידיעת חבריו את כללי המותר והאסור בהתנהלות האיגוד והחברים בו. </w:t>
      </w:r>
      <w:r w:rsidRPr="00802D72">
        <w:rPr>
          <w:rFonts w:hint="cs"/>
          <w:rtl/>
        </w:rPr>
        <w:tab/>
      </w:r>
      <w:r w:rsidRPr="00802D72">
        <w:rPr>
          <w:rFonts w:hint="cs"/>
          <w:rtl/>
        </w:rPr>
        <w:tab/>
      </w:r>
      <w:r w:rsidRPr="00802D72">
        <w:rPr>
          <w:rFonts w:hint="cs"/>
          <w:rtl/>
        </w:rPr>
        <w:tab/>
      </w:r>
    </w:p>
    <w:p w14:paraId="66ED447F" w14:textId="77777777" w:rsidR="00802D72" w:rsidRPr="00802D72" w:rsidRDefault="00802D72" w:rsidP="00802D72">
      <w:pPr>
        <w:tabs>
          <w:tab w:val="left" w:pos="32"/>
        </w:tabs>
        <w:ind w:left="720" w:hanging="686"/>
        <w:rPr>
          <w:rtl/>
        </w:rPr>
      </w:pPr>
      <w:r w:rsidRPr="00802D72">
        <w:rPr>
          <w:rFonts w:hint="cs"/>
          <w:rtl/>
        </w:rPr>
        <w:tab/>
      </w:r>
      <w:r w:rsidRPr="00802D72">
        <w:rPr>
          <w:rFonts w:hint="cs"/>
          <w:rtl/>
        </w:rPr>
        <w:tab/>
      </w:r>
      <w:r w:rsidRPr="00802D72">
        <w:rPr>
          <w:rFonts w:hint="cs"/>
          <w:rtl/>
        </w:rPr>
        <w:tab/>
      </w:r>
      <w:r w:rsidRPr="00802D72">
        <w:rPr>
          <w:rFonts w:hint="cs"/>
          <w:rtl/>
        </w:rPr>
        <w:tab/>
      </w:r>
    </w:p>
    <w:p w14:paraId="3769972D" w14:textId="77777777" w:rsidR="00802D72" w:rsidRPr="00802D72" w:rsidRDefault="00802D72" w:rsidP="006320E5">
      <w:pPr>
        <w:tabs>
          <w:tab w:val="left" w:pos="32"/>
        </w:tabs>
        <w:spacing w:before="100" w:beforeAutospacing="1" w:after="100" w:afterAutospacing="1"/>
        <w:ind w:left="720" w:hanging="688"/>
        <w:rPr>
          <w:rtl/>
        </w:rPr>
      </w:pP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006320E5">
        <w:rPr>
          <w:rFonts w:hint="cs"/>
          <w:rtl/>
        </w:rPr>
        <w:t>מיכל הלפרין</w:t>
      </w:r>
    </w:p>
    <w:p w14:paraId="68D9676C" w14:textId="77777777" w:rsidR="00802D72" w:rsidRPr="00802D72" w:rsidRDefault="00802D72" w:rsidP="00802D72">
      <w:pPr>
        <w:tabs>
          <w:tab w:val="left" w:pos="32"/>
        </w:tabs>
        <w:spacing w:before="100" w:beforeAutospacing="1" w:after="100" w:afterAutospacing="1"/>
        <w:ind w:left="720" w:hanging="688"/>
        <w:rPr>
          <w:rtl/>
        </w:rPr>
      </w:pPr>
    </w:p>
    <w:p w14:paraId="77617E69" w14:textId="77777777" w:rsidR="00802D72" w:rsidRPr="00802D72" w:rsidRDefault="00802D72" w:rsidP="006320E5">
      <w:pPr>
        <w:tabs>
          <w:tab w:val="left" w:pos="32"/>
        </w:tabs>
        <w:spacing w:before="100" w:beforeAutospacing="1" w:after="100" w:afterAutospacing="1"/>
        <w:rPr>
          <w:rtl/>
        </w:rPr>
      </w:pP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r>
      <w:r w:rsidRPr="00802D72">
        <w:rPr>
          <w:rFonts w:hint="cs"/>
          <w:rtl/>
        </w:rPr>
        <w:tab/>
        <w:t xml:space="preserve">     </w:t>
      </w:r>
      <w:r w:rsidR="00264BE8">
        <w:rPr>
          <w:rFonts w:hint="cs"/>
          <w:rtl/>
        </w:rPr>
        <w:t xml:space="preserve">  </w:t>
      </w:r>
      <w:r w:rsidRPr="00802D72">
        <w:rPr>
          <w:rFonts w:hint="cs"/>
          <w:rtl/>
        </w:rPr>
        <w:t xml:space="preserve"> הממונה על </w:t>
      </w:r>
      <w:r w:rsidR="006320E5">
        <w:rPr>
          <w:rFonts w:hint="cs"/>
          <w:rtl/>
        </w:rPr>
        <w:t>התחרות</w:t>
      </w:r>
    </w:p>
    <w:p w14:paraId="5FCBBA7E" w14:textId="14C8B4BF" w:rsidR="00A415BB" w:rsidRDefault="00A415BB" w:rsidP="00B966A7">
      <w:pPr>
        <w:pStyle w:val="Footer"/>
        <w:bidi w:val="0"/>
        <w:rPr>
          <w:rtl/>
        </w:rPr>
      </w:pPr>
      <w:r>
        <w:rPr>
          <w:rFonts w:hint="eastAsia"/>
          <w:rtl/>
        </w:rPr>
        <w:t>‏כ</w:t>
      </w:r>
      <w:r>
        <w:rPr>
          <w:rtl/>
        </w:rPr>
        <w:t>"</w:t>
      </w:r>
      <w:r w:rsidR="00B966A7">
        <w:rPr>
          <w:rFonts w:hint="cs"/>
          <w:rtl/>
        </w:rPr>
        <w:t>ו</w:t>
      </w:r>
      <w:r>
        <w:rPr>
          <w:rtl/>
        </w:rPr>
        <w:t xml:space="preserve"> ניסן תשע"ט</w:t>
      </w:r>
    </w:p>
    <w:p w14:paraId="6F2CCBB3" w14:textId="706BACFC" w:rsidR="00802D72" w:rsidRPr="00802D72" w:rsidRDefault="006320E5" w:rsidP="00B966A7">
      <w:pPr>
        <w:pStyle w:val="Footer"/>
        <w:bidi w:val="0"/>
        <w:rPr>
          <w:rFonts w:cs="Times New Roman"/>
          <w:szCs w:val="14"/>
          <w:rtl/>
        </w:rPr>
      </w:pPr>
      <w:r>
        <w:rPr>
          <w:rFonts w:hint="eastAsia"/>
          <w:rtl/>
        </w:rPr>
        <w:t>‏</w:t>
      </w:r>
      <w:r w:rsidR="00B966A7">
        <w:rPr>
          <w:rFonts w:hint="cs"/>
          <w:rtl/>
        </w:rPr>
        <w:t>1</w:t>
      </w:r>
      <w:r>
        <w:rPr>
          <w:rtl/>
        </w:rPr>
        <w:t xml:space="preserve"> </w:t>
      </w:r>
      <w:r w:rsidR="00B966A7">
        <w:rPr>
          <w:rFonts w:hint="cs"/>
          <w:rtl/>
        </w:rPr>
        <w:t>במאי</w:t>
      </w:r>
      <w:r>
        <w:rPr>
          <w:rtl/>
        </w:rPr>
        <w:t xml:space="preserve"> 2019</w:t>
      </w:r>
    </w:p>
    <w:p w14:paraId="248F9408" w14:textId="77777777" w:rsidR="00802D72" w:rsidRPr="004D4BC4" w:rsidRDefault="00802D72" w:rsidP="00802D72">
      <w:pPr>
        <w:rPr>
          <w:rtl/>
        </w:rPr>
      </w:pPr>
    </w:p>
    <w:p w14:paraId="332EB014" w14:textId="77777777" w:rsidR="00DE59DC" w:rsidRPr="00802D72" w:rsidRDefault="00DE59DC" w:rsidP="00802D72">
      <w:pPr>
        <w:rPr>
          <w:rtl/>
        </w:rPr>
      </w:pPr>
    </w:p>
    <w:sectPr w:rsidR="00DE59DC" w:rsidRPr="00802D72" w:rsidSect="00D452A1">
      <w:headerReference w:type="even" r:id="rId8"/>
      <w:headerReference w:type="default" r:id="rId9"/>
      <w:footerReference w:type="default" r:id="rId10"/>
      <w:headerReference w:type="first" r:id="rId11"/>
      <w:footerReference w:type="first" r:id="rId12"/>
      <w:pgSz w:w="11906" w:h="16838"/>
      <w:pgMar w:top="1418" w:right="1701" w:bottom="1418" w:left="1701" w:header="284" w:footer="465"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76A63" w14:textId="77777777" w:rsidR="00FD3FC6" w:rsidRDefault="00FD3FC6">
      <w:pPr>
        <w:spacing w:after="0" w:line="240" w:lineRule="auto"/>
      </w:pPr>
      <w:r>
        <w:separator/>
      </w:r>
    </w:p>
  </w:endnote>
  <w:endnote w:type="continuationSeparator" w:id="0">
    <w:p w14:paraId="7744EF98" w14:textId="77777777" w:rsidR="00FD3FC6" w:rsidRDefault="00FD3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5AF79" w14:textId="5D373CBE" w:rsidR="00A603A6" w:rsidRDefault="00365DFF" w:rsidP="00565074">
    <w:pPr>
      <w:pStyle w:val="Header"/>
      <w:jc w:val="center"/>
    </w:pPr>
    <w:r>
      <w:rPr>
        <w:rStyle w:val="PageNumber"/>
        <w:rtl/>
      </w:rPr>
      <w:fldChar w:fldCharType="begin"/>
    </w:r>
    <w:r>
      <w:rPr>
        <w:rStyle w:val="PageNumber"/>
      </w:rPr>
      <w:instrText xml:space="preserve">PAGE  </w:instrText>
    </w:r>
    <w:r>
      <w:rPr>
        <w:rStyle w:val="PageNumber"/>
        <w:rtl/>
      </w:rPr>
      <w:fldChar w:fldCharType="separate"/>
    </w:r>
    <w:r w:rsidR="00954B1A">
      <w:rPr>
        <w:rStyle w:val="PageNumber"/>
        <w:noProof/>
        <w:rtl/>
      </w:rPr>
      <w:t>2</w:t>
    </w:r>
    <w:r>
      <w:rPr>
        <w:rStyle w:val="PageNumber"/>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5F6D6" w14:textId="77777777" w:rsidR="00A603A6" w:rsidRPr="001D13D4" w:rsidRDefault="00954B1A" w:rsidP="001D13D4">
    <w:pPr>
      <w:pStyle w:val="Footer"/>
      <w:jc w:val="both"/>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C7C51" w14:textId="77777777" w:rsidR="00FD3FC6" w:rsidRDefault="00FD3FC6">
      <w:pPr>
        <w:spacing w:after="0" w:line="240" w:lineRule="auto"/>
      </w:pPr>
      <w:r>
        <w:separator/>
      </w:r>
    </w:p>
  </w:footnote>
  <w:footnote w:type="continuationSeparator" w:id="0">
    <w:p w14:paraId="2EE14878" w14:textId="77777777" w:rsidR="00FD3FC6" w:rsidRDefault="00FD3FC6">
      <w:pPr>
        <w:spacing w:after="0" w:line="240" w:lineRule="auto"/>
      </w:pPr>
      <w:r>
        <w:continuationSeparator/>
      </w:r>
    </w:p>
  </w:footnote>
  <w:footnote w:id="1">
    <w:p w14:paraId="7F3F717F" w14:textId="77777777" w:rsidR="00802D72" w:rsidRPr="00802D72" w:rsidRDefault="00802D72" w:rsidP="00802D72">
      <w:pPr>
        <w:pStyle w:val="FootnoteText"/>
        <w:rPr>
          <w:rFonts w:eastAsiaTheme="minorEastAsia"/>
          <w:rtl/>
        </w:rPr>
      </w:pPr>
      <w:r w:rsidRPr="00802D72">
        <w:rPr>
          <w:rStyle w:val="FootnoteReference"/>
        </w:rPr>
        <w:footnoteRef/>
      </w:r>
      <w:r w:rsidRPr="00802D72">
        <w:rPr>
          <w:rFonts w:hint="cs"/>
          <w:rtl/>
        </w:rPr>
        <w:t xml:space="preserve"> </w:t>
      </w:r>
      <w:r w:rsidRPr="00802D72">
        <w:t xml:space="preserve">OECD policy roundtables trade associations: potential pro-competitive and anti-competitive aspects of trade, business associations), p. 15 (2007. </w:t>
      </w:r>
      <w:r w:rsidRPr="00802D72">
        <w:rPr>
          <w:rFonts w:asciiTheme="majorBidi" w:eastAsiaTheme="minorHAnsi" w:hAnsiTheme="majorBidi"/>
        </w:rPr>
        <w:t xml:space="preserve">Available at </w:t>
      </w:r>
      <w:hyperlink r:id="rId1" w:history="1">
        <w:r w:rsidRPr="00802D72">
          <w:rPr>
            <w:rStyle w:val="Hyperlink"/>
            <w:rFonts w:asciiTheme="majorBidi" w:hAnsiTheme="majorBidi"/>
          </w:rPr>
          <w:t>http://www.oecd.org/regreform/sectors/41646059.pdf</w:t>
        </w:r>
      </w:hyperlink>
      <w:r w:rsidRPr="00802D72">
        <w:rPr>
          <w:rStyle w:val="Hyperlink"/>
          <w:rFonts w:asciiTheme="majorBidi" w:hAnsiTheme="majorBidi"/>
        </w:rPr>
        <w:t xml:space="preserve"> </w:t>
      </w:r>
      <w:r w:rsidRPr="00802D72">
        <w:rPr>
          <w:rFonts w:asciiTheme="majorBidi" w:eastAsiaTheme="minorHAnsi" w:hAnsiTheme="majorBidi"/>
        </w:rPr>
        <w:t xml:space="preserve"> </w:t>
      </w:r>
      <w:r w:rsidRPr="00802D72">
        <w:rPr>
          <w:rStyle w:val="Hyperlink"/>
          <w:rFonts w:asciiTheme="majorBidi" w:hAnsiTheme="majorBidi"/>
        </w:rPr>
        <w:t xml:space="preserve"> </w:t>
      </w:r>
      <w:r w:rsidRPr="00802D72">
        <w:rPr>
          <w:rFonts w:asciiTheme="majorBidi" w:hAnsiTheme="majorBidi"/>
        </w:rPr>
        <w:t xml:space="preserve"> </w:t>
      </w:r>
      <w:r w:rsidRPr="00802D72">
        <w:rPr>
          <w:rFonts w:asciiTheme="majorBidi" w:hAnsiTheme="majorBidi" w:hint="cs"/>
          <w:rtl/>
        </w:rPr>
        <w:t xml:space="preserve">  (להלן: "</w:t>
      </w:r>
      <w:r w:rsidRPr="00802D72">
        <w:t xml:space="preserve">OECD </w:t>
      </w:r>
      <w:r w:rsidRPr="00802D72">
        <w:rPr>
          <w:b/>
          <w:bCs/>
        </w:rPr>
        <w:t>Roundtable</w:t>
      </w:r>
      <w:r w:rsidRPr="00802D72">
        <w:rPr>
          <w:rFonts w:hint="cs"/>
          <w:b/>
          <w:bCs/>
          <w:rtl/>
        </w:rPr>
        <w:t>").</w:t>
      </w:r>
    </w:p>
  </w:footnote>
  <w:footnote w:id="2">
    <w:p w14:paraId="3FF210EB" w14:textId="77777777" w:rsidR="00802D72" w:rsidRPr="00802D72" w:rsidRDefault="00802D72" w:rsidP="00706E81">
      <w:pPr>
        <w:pStyle w:val="FootnoteText"/>
        <w:rPr>
          <w:color w:val="FF0000"/>
          <w:rtl/>
        </w:rPr>
      </w:pPr>
      <w:r w:rsidRPr="00802D72">
        <w:rPr>
          <w:rStyle w:val="FootnoteReference"/>
        </w:rPr>
        <w:footnoteRef/>
      </w:r>
      <w:r w:rsidRPr="00802D72">
        <w:rPr>
          <w:rFonts w:hint="cs"/>
          <w:rtl/>
        </w:rPr>
        <w:t xml:space="preserve">  ראו גילוי דעת 1/12 "הנחיות רשות ההגבלים העסקיים בדבר השימוש בהליכי אכיפה של עיצומים כספיים</w:t>
      </w:r>
      <w:r w:rsidRPr="00802D72">
        <w:rPr>
          <w:rFonts w:hint="cs"/>
          <w:b/>
          <w:bCs/>
          <w:rtl/>
        </w:rPr>
        <w:t xml:space="preserve">" </w:t>
      </w:r>
      <w:r w:rsidR="00706E81">
        <w:rPr>
          <w:rFonts w:hint="cs"/>
          <w:b/>
          <w:bCs/>
          <w:rtl/>
        </w:rPr>
        <w:t>רשות התחרות</w:t>
      </w:r>
      <w:r w:rsidRPr="00802D72">
        <w:rPr>
          <w:rFonts w:hint="cs"/>
          <w:b/>
          <w:bCs/>
          <w:rtl/>
        </w:rPr>
        <w:t xml:space="preserve"> </w:t>
      </w:r>
      <w:r w:rsidRPr="00802D72">
        <w:rPr>
          <w:rFonts w:hint="cs"/>
          <w:rtl/>
        </w:rPr>
        <w:t>5001998 (24.7.2012).</w:t>
      </w:r>
      <w:r w:rsidRPr="00802D72">
        <w:rPr>
          <w:rFonts w:hint="cs"/>
          <w:vanish/>
          <w:rtl/>
        </w:rPr>
        <w:t xml:space="preserve"> (24.7.2012)</w:t>
      </w:r>
    </w:p>
  </w:footnote>
  <w:footnote w:id="3">
    <w:p w14:paraId="447FE3E8" w14:textId="77777777" w:rsidR="00802D72" w:rsidRPr="00802D72" w:rsidRDefault="00802D72" w:rsidP="00706E81">
      <w:pPr>
        <w:pStyle w:val="FootnoteText"/>
        <w:rPr>
          <w:b/>
          <w:bCs/>
        </w:rPr>
      </w:pPr>
      <w:r w:rsidRPr="00802D72">
        <w:rPr>
          <w:rStyle w:val="FootnoteReference"/>
        </w:rPr>
        <w:footnoteRef/>
      </w:r>
      <w:r w:rsidRPr="00802D72">
        <w:rPr>
          <w:rFonts w:hint="cs"/>
          <w:rtl/>
        </w:rPr>
        <w:t xml:space="preserve"> ר' למשל –החלטה של הממונה על </w:t>
      </w:r>
      <w:r w:rsidR="00706E81">
        <w:rPr>
          <w:rFonts w:hint="cs"/>
          <w:rtl/>
        </w:rPr>
        <w:t>התחרות</w:t>
      </w:r>
      <w:r w:rsidRPr="00802D72">
        <w:rPr>
          <w:rFonts w:hint="cs"/>
          <w:rtl/>
        </w:rPr>
        <w:t xml:space="preserve"> "החלטה לפי סעיף 14 לחוק ההגבלים העסקיים, התשמ"ח-1988 בדבר מתן פטור בתנאים מאישור הסדר כובל לצ'ויסס" </w:t>
      </w:r>
      <w:r w:rsidR="00706E81">
        <w:rPr>
          <w:rFonts w:hint="cs"/>
          <w:b/>
          <w:bCs/>
          <w:rtl/>
        </w:rPr>
        <w:t>רשות התחרות</w:t>
      </w:r>
      <w:r w:rsidRPr="00802D72">
        <w:rPr>
          <w:rFonts w:hint="cs"/>
          <w:rtl/>
        </w:rPr>
        <w:t xml:space="preserve"> 5001365 ס' 4 (15.2.2009) (להלן: "</w:t>
      </w:r>
      <w:r w:rsidRPr="00802D72">
        <w:rPr>
          <w:rFonts w:hint="cs"/>
          <w:b/>
          <w:bCs/>
          <w:rtl/>
        </w:rPr>
        <w:t>החלטה בעניין צ'ויסס</w:t>
      </w:r>
      <w:r w:rsidRPr="00802D72">
        <w:rPr>
          <w:rFonts w:hint="cs"/>
          <w:rtl/>
        </w:rPr>
        <w:t xml:space="preserve">"). </w:t>
      </w:r>
    </w:p>
  </w:footnote>
  <w:footnote w:id="4">
    <w:p w14:paraId="795721A1" w14:textId="77777777" w:rsidR="00802D72" w:rsidRPr="00802D72" w:rsidRDefault="00802D72" w:rsidP="00802D72">
      <w:pPr>
        <w:spacing w:after="0" w:line="240" w:lineRule="auto"/>
        <w:rPr>
          <w:color w:val="FF0000"/>
          <w:sz w:val="20"/>
          <w:szCs w:val="20"/>
          <w:rtl/>
        </w:rPr>
      </w:pPr>
      <w:r w:rsidRPr="00802D72">
        <w:rPr>
          <w:rStyle w:val="FootnoteReference"/>
        </w:rPr>
        <w:footnoteRef/>
      </w:r>
      <w:r w:rsidRPr="00802D72">
        <w:rPr>
          <w:rFonts w:hint="cs"/>
          <w:sz w:val="22"/>
          <w:rtl/>
        </w:rPr>
        <w:t xml:space="preserve">  </w:t>
      </w:r>
      <w:r w:rsidRPr="00802D72">
        <w:rPr>
          <w:smallCaps/>
        </w:rPr>
        <w:t xml:space="preserve">  </w:t>
      </w:r>
      <w:r w:rsidRPr="00802D72">
        <w:rPr>
          <w:rFonts w:asciiTheme="majorBidi" w:hAnsiTheme="majorBidi"/>
          <w:smallCaps/>
        </w:rPr>
        <w:t>Phillip E. Areeda, Herbert Hovenkamp &amp; John L. Solow, Antitrust Law: An Analysis of Antitrust Principles and Their Application</w:t>
      </w:r>
      <w:r w:rsidRPr="00802D72">
        <w:rPr>
          <w:rFonts w:asciiTheme="majorBidi" w:hAnsiTheme="majorBidi"/>
          <w:sz w:val="20"/>
          <w:szCs w:val="20"/>
        </w:rPr>
        <w:t xml:space="preserve"> Para. 1477 (2</w:t>
      </w:r>
      <w:r w:rsidRPr="00802D72">
        <w:rPr>
          <w:rFonts w:asciiTheme="majorBidi" w:hAnsiTheme="majorBidi"/>
          <w:sz w:val="20"/>
          <w:szCs w:val="20"/>
          <w:vertAlign w:val="superscript"/>
        </w:rPr>
        <w:t>nd</w:t>
      </w:r>
      <w:r w:rsidRPr="00802D72">
        <w:rPr>
          <w:rFonts w:asciiTheme="majorBidi" w:hAnsiTheme="majorBidi"/>
          <w:sz w:val="20"/>
          <w:szCs w:val="20"/>
        </w:rPr>
        <w:t>. Ed.2006)</w:t>
      </w:r>
      <w:r w:rsidRPr="00802D72">
        <w:rPr>
          <w:rFonts w:asciiTheme="majorBidi" w:hAnsiTheme="majorBidi" w:hint="cs"/>
          <w:sz w:val="20"/>
          <w:szCs w:val="20"/>
          <w:rtl/>
        </w:rPr>
        <w:t>;</w:t>
      </w:r>
      <w:r w:rsidRPr="00802D72">
        <w:rPr>
          <w:rFonts w:hint="cs"/>
          <w:sz w:val="22"/>
          <w:rtl/>
        </w:rPr>
        <w:t xml:space="preserve"> </w:t>
      </w:r>
      <w:r w:rsidRPr="00802D72">
        <w:rPr>
          <w:sz w:val="20"/>
          <w:szCs w:val="20"/>
        </w:rPr>
        <w:t xml:space="preserve">OECD </w:t>
      </w:r>
      <w:r w:rsidRPr="00802D72">
        <w:rPr>
          <w:b/>
          <w:bCs/>
          <w:sz w:val="20"/>
          <w:szCs w:val="20"/>
        </w:rPr>
        <w:t>Roundtable</w:t>
      </w:r>
      <w:r w:rsidRPr="00802D72">
        <w:rPr>
          <w:rFonts w:asciiTheme="majorBidi" w:eastAsiaTheme="minorHAnsi" w:hAnsiTheme="majorBidi" w:hint="cs"/>
          <w:sz w:val="20"/>
          <w:szCs w:val="20"/>
          <w:rtl/>
        </w:rPr>
        <w:t xml:space="preserve"> לעיל ה"ש 1, </w:t>
      </w:r>
      <w:r w:rsidRPr="00802D72">
        <w:rPr>
          <w:rFonts w:asciiTheme="majorBidi" w:hAnsiTheme="majorBidi" w:hint="cs"/>
          <w:sz w:val="20"/>
          <w:szCs w:val="20"/>
          <w:rtl/>
        </w:rPr>
        <w:t>עמ' 21.</w:t>
      </w:r>
    </w:p>
  </w:footnote>
  <w:footnote w:id="5">
    <w:p w14:paraId="1EB22257" w14:textId="77777777" w:rsidR="00802D72" w:rsidRPr="00802D72" w:rsidRDefault="00802D72" w:rsidP="00706E81">
      <w:pPr>
        <w:spacing w:after="0" w:line="240" w:lineRule="auto"/>
        <w:rPr>
          <w:sz w:val="20"/>
          <w:szCs w:val="20"/>
          <w:rtl/>
        </w:rPr>
      </w:pPr>
      <w:r w:rsidRPr="00802D72">
        <w:rPr>
          <w:rStyle w:val="FootnoteReference"/>
          <w:sz w:val="20"/>
          <w:szCs w:val="20"/>
        </w:rPr>
        <w:footnoteRef/>
      </w:r>
      <w:r w:rsidRPr="00802D72">
        <w:rPr>
          <w:rFonts w:hint="cs"/>
          <w:sz w:val="20"/>
          <w:szCs w:val="20"/>
          <w:rtl/>
        </w:rPr>
        <w:t xml:space="preserve"> ר' החלטה של הממונה על </w:t>
      </w:r>
      <w:r w:rsidR="00706E81">
        <w:rPr>
          <w:rFonts w:hint="cs"/>
          <w:sz w:val="20"/>
          <w:szCs w:val="20"/>
          <w:rtl/>
        </w:rPr>
        <w:t>התחרות</w:t>
      </w:r>
      <w:r w:rsidRPr="00802D72">
        <w:rPr>
          <w:rFonts w:hint="cs"/>
          <w:sz w:val="20"/>
          <w:szCs w:val="20"/>
          <w:rtl/>
        </w:rPr>
        <w:t xml:space="preserve"> "החלטה לפי סעיף 14 לחוק ההגבלים העסקיים, התשמ"ח-1988 בדבר מתן פטור בתנאים מאישור הסדר כובל להסדר להקמת תאגיד ייעודי למתן שירותים בתחום בריאות השן על ידי ההסתדרות לרפואת שיניים בישראל (ע.ר.)" </w:t>
      </w:r>
      <w:r w:rsidR="00706E81">
        <w:rPr>
          <w:rFonts w:hint="cs"/>
          <w:b/>
          <w:bCs/>
          <w:sz w:val="20"/>
          <w:szCs w:val="20"/>
          <w:rtl/>
        </w:rPr>
        <w:t>רשות התחרות</w:t>
      </w:r>
      <w:r w:rsidRPr="00802D72">
        <w:rPr>
          <w:rFonts w:hint="cs"/>
          <w:sz w:val="20"/>
          <w:szCs w:val="20"/>
          <w:rtl/>
        </w:rPr>
        <w:t xml:space="preserve"> 500452 (21.8.2013) (להלן: </w:t>
      </w:r>
      <w:r w:rsidRPr="00802D72">
        <w:rPr>
          <w:rFonts w:hint="cs"/>
          <w:b/>
          <w:bCs/>
          <w:sz w:val="20"/>
          <w:szCs w:val="20"/>
          <w:rtl/>
        </w:rPr>
        <w:t>החלטה בעניין הסדר כובל בתחום בריאות השן</w:t>
      </w:r>
      <w:r w:rsidRPr="00802D72">
        <w:rPr>
          <w:rFonts w:hint="cs"/>
          <w:sz w:val="20"/>
          <w:szCs w:val="20"/>
          <w:rtl/>
        </w:rPr>
        <w:t xml:space="preserve">"); החלטה של הממונה על </w:t>
      </w:r>
      <w:r w:rsidR="00706E81">
        <w:rPr>
          <w:rFonts w:hint="cs"/>
          <w:sz w:val="20"/>
          <w:szCs w:val="20"/>
          <w:rtl/>
        </w:rPr>
        <w:t>התחרות</w:t>
      </w:r>
      <w:r w:rsidRPr="00802D72">
        <w:rPr>
          <w:rFonts w:hint="cs"/>
          <w:sz w:val="20"/>
          <w:szCs w:val="20"/>
          <w:rtl/>
        </w:rPr>
        <w:t xml:space="preserve"> "החלטה לפי סעיף 14 לחוק ההגבלים העסקיים, התשמ"ח-1988 בדבר מתן פטור מאישור הסדר כובל: הסדר בין מועצת המובילים וההיסעים בישראל וחבריה לבין משרד הביטחון" </w:t>
      </w:r>
      <w:r w:rsidR="00706E81">
        <w:rPr>
          <w:rFonts w:hint="cs"/>
          <w:b/>
          <w:bCs/>
          <w:sz w:val="20"/>
          <w:szCs w:val="20"/>
          <w:rtl/>
        </w:rPr>
        <w:t>רשות התחרות</w:t>
      </w:r>
      <w:r w:rsidRPr="00802D72">
        <w:rPr>
          <w:rFonts w:hint="cs"/>
          <w:sz w:val="20"/>
          <w:szCs w:val="20"/>
          <w:rtl/>
        </w:rPr>
        <w:t xml:space="preserve"> 3018215 (18.8.2003) (להלן: "</w:t>
      </w:r>
      <w:r w:rsidRPr="00802D72">
        <w:rPr>
          <w:rFonts w:hint="cs"/>
          <w:b/>
          <w:bCs/>
          <w:sz w:val="20"/>
          <w:szCs w:val="20"/>
          <w:rtl/>
        </w:rPr>
        <w:t>החלטה בעניין</w:t>
      </w:r>
      <w:r w:rsidRPr="00802D72">
        <w:rPr>
          <w:rFonts w:hint="cs"/>
          <w:sz w:val="20"/>
          <w:szCs w:val="20"/>
          <w:rtl/>
        </w:rPr>
        <w:t xml:space="preserve"> </w:t>
      </w:r>
      <w:r w:rsidRPr="00802D72">
        <w:rPr>
          <w:rFonts w:hint="cs"/>
          <w:b/>
          <w:bCs/>
          <w:sz w:val="20"/>
          <w:szCs w:val="20"/>
          <w:rtl/>
        </w:rPr>
        <w:t>מועצת המובילים וההיסעים בישראל</w:t>
      </w:r>
      <w:r w:rsidRPr="00802D72">
        <w:rPr>
          <w:rFonts w:hint="cs"/>
          <w:sz w:val="20"/>
          <w:szCs w:val="20"/>
          <w:rtl/>
        </w:rPr>
        <w:t xml:space="preserve">"); החלטה בעניין </w:t>
      </w:r>
      <w:r w:rsidRPr="00802D72">
        <w:rPr>
          <w:rFonts w:hint="cs"/>
          <w:b/>
          <w:bCs/>
          <w:sz w:val="20"/>
          <w:szCs w:val="20"/>
          <w:rtl/>
        </w:rPr>
        <w:t>צ'ויסס</w:t>
      </w:r>
      <w:r w:rsidRPr="00802D72">
        <w:rPr>
          <w:rFonts w:hint="cs"/>
          <w:sz w:val="20"/>
          <w:szCs w:val="20"/>
          <w:rtl/>
        </w:rPr>
        <w:t xml:space="preserve">, לעיל ה"ש 3, פס' 4; כללי ההגבלים העסקיים (פטור סוג למיזמים משותפים), תשס"ו-2006, </w:t>
      </w:r>
      <w:hyperlink r:id="rId2" w:history="1">
        <w:r w:rsidRPr="00802D72">
          <w:rPr>
            <w:rStyle w:val="Hyperlink"/>
            <w:rFonts w:hint="cs"/>
            <w:color w:val="000000"/>
            <w:sz w:val="20"/>
            <w:szCs w:val="20"/>
            <w:u w:val="none"/>
            <w:rtl/>
          </w:rPr>
          <w:t>ק"ת 6483</w:t>
        </w:r>
      </w:hyperlink>
      <w:r w:rsidRPr="00802D72">
        <w:rPr>
          <w:rFonts w:hint="cs"/>
          <w:sz w:val="20"/>
          <w:szCs w:val="20"/>
          <w:rtl/>
        </w:rPr>
        <w:t xml:space="preserve">, 793. </w:t>
      </w:r>
      <w:r w:rsidRPr="00802D72">
        <w:rPr>
          <w:rFonts w:hint="cs"/>
          <w:sz w:val="22"/>
          <w:rtl/>
        </w:rPr>
        <w:t xml:space="preserve"> </w:t>
      </w:r>
    </w:p>
  </w:footnote>
  <w:footnote w:id="6">
    <w:p w14:paraId="32DC1908" w14:textId="77777777" w:rsidR="00802D72" w:rsidRPr="00802D72" w:rsidRDefault="00802D72" w:rsidP="00706E81">
      <w:pPr>
        <w:pStyle w:val="FootnoteText"/>
        <w:rPr>
          <w:sz w:val="24"/>
          <w:szCs w:val="24"/>
          <w:rtl/>
        </w:rPr>
      </w:pPr>
      <w:r w:rsidRPr="00802D72">
        <w:rPr>
          <w:rStyle w:val="FootnoteReference"/>
        </w:rPr>
        <w:footnoteRef/>
      </w:r>
      <w:r w:rsidRPr="00802D72">
        <w:rPr>
          <w:rFonts w:hint="cs"/>
          <w:rtl/>
        </w:rPr>
        <w:t xml:space="preserve"> ר' החלטה של הממונה על </w:t>
      </w:r>
      <w:r w:rsidR="00706E81">
        <w:rPr>
          <w:rFonts w:hint="cs"/>
          <w:rtl/>
        </w:rPr>
        <w:t>התחרות</w:t>
      </w:r>
      <w:r w:rsidRPr="00802D72">
        <w:rPr>
          <w:rFonts w:hint="cs"/>
          <w:rtl/>
        </w:rPr>
        <w:t xml:space="preserve"> "קביעה לפי סעיף 43(א)(2) לחוק ההגבלים העסקיים, התשמ"ח – 1988: </w:t>
      </w:r>
    </w:p>
    <w:p w14:paraId="40B90EF0" w14:textId="77777777" w:rsidR="00802D72" w:rsidRPr="00802D72" w:rsidRDefault="00802D72" w:rsidP="00706E81">
      <w:pPr>
        <w:pStyle w:val="FootnoteText"/>
        <w:rPr>
          <w:b/>
          <w:bCs/>
          <w:rtl/>
        </w:rPr>
      </w:pPr>
      <w:r w:rsidRPr="00802D72">
        <w:rPr>
          <w:rFonts w:hint="cs"/>
          <w:rtl/>
        </w:rPr>
        <w:t xml:space="preserve">קו פעולה של ארגון בתי חולים פרטיים לחולים כרוניים בישראל הוא הסדר כובל" </w:t>
      </w:r>
      <w:r w:rsidR="00706E81">
        <w:rPr>
          <w:rFonts w:hint="cs"/>
          <w:b/>
          <w:bCs/>
          <w:rtl/>
        </w:rPr>
        <w:t>רשות התחרות</w:t>
      </w:r>
      <w:r w:rsidRPr="00802D72">
        <w:rPr>
          <w:rFonts w:hint="cs"/>
          <w:rtl/>
        </w:rPr>
        <w:t xml:space="preserve"> 5000740 </w:t>
      </w:r>
      <w:r w:rsidR="00706E81">
        <w:rPr>
          <w:rFonts w:hint="cs"/>
          <w:rtl/>
        </w:rPr>
        <w:t>פס' 39 ואילך (31.12.2007) (להלן</w:t>
      </w:r>
      <w:r w:rsidRPr="00802D72">
        <w:rPr>
          <w:rFonts w:hint="cs"/>
          <w:b/>
          <w:bCs/>
          <w:rtl/>
        </w:rPr>
        <w:t>: "</w:t>
      </w:r>
      <w:r w:rsidRPr="00802D72">
        <w:rPr>
          <w:rFonts w:hint="cs"/>
          <w:rtl/>
        </w:rPr>
        <w:t>עניין</w:t>
      </w:r>
      <w:r w:rsidRPr="00802D72">
        <w:rPr>
          <w:rFonts w:hint="cs"/>
          <w:b/>
          <w:bCs/>
          <w:rtl/>
        </w:rPr>
        <w:t xml:space="preserve"> בתי החולים הגריאטריים</w:t>
      </w:r>
      <w:r w:rsidRPr="00802D72">
        <w:rPr>
          <w:rFonts w:hint="cs"/>
          <w:rtl/>
        </w:rPr>
        <w:t xml:space="preserve">"). </w:t>
      </w:r>
    </w:p>
  </w:footnote>
  <w:footnote w:id="7">
    <w:p w14:paraId="167EEE86" w14:textId="77777777" w:rsidR="00802D72" w:rsidRPr="00802D72" w:rsidRDefault="00802D72" w:rsidP="00706E81">
      <w:pPr>
        <w:pStyle w:val="FootnoteText"/>
        <w:rPr>
          <w:rtl/>
        </w:rPr>
      </w:pPr>
      <w:r w:rsidRPr="00802D72">
        <w:rPr>
          <w:rStyle w:val="FootnoteReference"/>
        </w:rPr>
        <w:footnoteRef/>
      </w:r>
      <w:r w:rsidRPr="00802D72">
        <w:rPr>
          <w:rFonts w:hint="cs"/>
          <w:rtl/>
        </w:rPr>
        <w:t xml:space="preserve"> מיכל (שיצר) גל, אמיר ישראלי</w:t>
      </w:r>
      <w:r w:rsidRPr="00802D72">
        <w:rPr>
          <w:rFonts w:hint="cs"/>
        </w:rPr>
        <w:t xml:space="preserve"> </w:t>
      </w:r>
      <w:r w:rsidRPr="00802D72">
        <w:rPr>
          <w:rFonts w:hint="cs"/>
          <w:rtl/>
        </w:rPr>
        <w:t>ומנחם פרלמן, "הסדרים כובלים – יסודות האיסור"</w:t>
      </w:r>
      <w:r w:rsidRPr="00802D72">
        <w:rPr>
          <w:rFonts w:hint="cs"/>
          <w:b/>
          <w:bCs/>
          <w:rtl/>
        </w:rPr>
        <w:t xml:space="preserve">, </w:t>
      </w:r>
      <w:r w:rsidRPr="00802D72">
        <w:rPr>
          <w:rFonts w:hint="cs"/>
          <w:rtl/>
        </w:rPr>
        <w:t>מיכל גל ומנחם פרלמן</w:t>
      </w:r>
      <w:r w:rsidRPr="00802D72">
        <w:rPr>
          <w:rFonts w:hint="cs"/>
          <w:b/>
          <w:bCs/>
          <w:rtl/>
        </w:rPr>
        <w:t xml:space="preserve"> ניתוח משפטי וכלכלי של דיני ההגבלים העסקיים</w:t>
      </w:r>
      <w:r w:rsidRPr="00802D72">
        <w:rPr>
          <w:rFonts w:hint="cs"/>
          <w:rtl/>
        </w:rPr>
        <w:t xml:space="preserve">, כרך א' 193, 311  (נבו הוצאה לאור,2008); כן ר' החלטה של הממונה על </w:t>
      </w:r>
      <w:r w:rsidR="00706E81">
        <w:rPr>
          <w:rFonts w:hint="cs"/>
          <w:rtl/>
        </w:rPr>
        <w:t>התחרות "</w:t>
      </w:r>
      <w:r w:rsidRPr="00802D72">
        <w:rPr>
          <w:rFonts w:hint="cs"/>
          <w:rtl/>
        </w:rPr>
        <w:t xml:space="preserve">החלטה לפי סעיף 14 לחוק ההגבלים העסקיים, התשמ"ח-1988 בדבר מתן פטור מאישור הסדר כובל: איגוד אתרי האינטרנט בישראל" </w:t>
      </w:r>
      <w:r w:rsidR="00706E81">
        <w:rPr>
          <w:rFonts w:hint="cs"/>
          <w:b/>
          <w:bCs/>
          <w:rtl/>
        </w:rPr>
        <w:t>רשות התחרות</w:t>
      </w:r>
      <w:r w:rsidRPr="00802D72">
        <w:rPr>
          <w:rFonts w:hint="cs"/>
          <w:rtl/>
        </w:rPr>
        <w:t xml:space="preserve"> 3015425 (28.8.20012); </w:t>
      </w:r>
      <w:r w:rsidRPr="00802D72">
        <w:rPr>
          <w:rFonts w:asciiTheme="majorBidi" w:hAnsiTheme="majorBidi" w:hint="cs"/>
          <w:b/>
          <w:bCs/>
          <w:rtl/>
        </w:rPr>
        <w:t xml:space="preserve"> </w:t>
      </w:r>
      <w:r w:rsidRPr="00802D72">
        <w:rPr>
          <w:rFonts w:asciiTheme="majorBidi" w:hAnsiTheme="majorBidi"/>
        </w:rPr>
        <w:t>OECD</w:t>
      </w:r>
      <w:r w:rsidRPr="00802D72">
        <w:rPr>
          <w:rFonts w:asciiTheme="majorBidi" w:hAnsiTheme="majorBidi"/>
          <w:b/>
          <w:bCs/>
        </w:rPr>
        <w:t xml:space="preserve"> Roundtable</w:t>
      </w:r>
      <w:r w:rsidRPr="00802D72">
        <w:rPr>
          <w:rFonts w:asciiTheme="majorBidi" w:eastAsiaTheme="minorHAnsi" w:hAnsiTheme="majorBidi" w:hint="cs"/>
          <w:rtl/>
        </w:rPr>
        <w:t>, לעיל ה"ש 1, עמוד 15.</w:t>
      </w:r>
    </w:p>
  </w:footnote>
  <w:footnote w:id="8">
    <w:p w14:paraId="1E913C49" w14:textId="77777777" w:rsidR="00802D72" w:rsidRPr="00802D72" w:rsidRDefault="00802D72" w:rsidP="00802D72">
      <w:pPr>
        <w:pStyle w:val="FootnoteText"/>
        <w:rPr>
          <w:color w:val="FF0000"/>
          <w:rtl/>
        </w:rPr>
      </w:pPr>
      <w:r w:rsidRPr="00802D72">
        <w:rPr>
          <w:rStyle w:val="FootnoteReference"/>
        </w:rPr>
        <w:footnoteRef/>
      </w:r>
      <w:r w:rsidRPr="00802D72">
        <w:rPr>
          <w:rFonts w:hint="cs"/>
          <w:rtl/>
        </w:rPr>
        <w:t xml:space="preserve"> החלטה בעניין </w:t>
      </w:r>
      <w:r w:rsidRPr="00802D72">
        <w:rPr>
          <w:rFonts w:hint="cs"/>
          <w:b/>
          <w:bCs/>
          <w:rtl/>
        </w:rPr>
        <w:t>מועצת המובילים וההיסעים בישראל</w:t>
      </w:r>
      <w:r w:rsidRPr="00802D72">
        <w:rPr>
          <w:rFonts w:hint="cs"/>
          <w:rtl/>
        </w:rPr>
        <w:t>, לעיל ה"ש 5.</w:t>
      </w:r>
    </w:p>
  </w:footnote>
  <w:footnote w:id="9">
    <w:p w14:paraId="44C27970" w14:textId="77777777" w:rsidR="00802D72" w:rsidRPr="00802D72" w:rsidRDefault="00802D72" w:rsidP="00706E81">
      <w:pPr>
        <w:pStyle w:val="FootnoteText"/>
      </w:pPr>
      <w:r w:rsidRPr="00802D72">
        <w:rPr>
          <w:rStyle w:val="FootnoteReference"/>
        </w:rPr>
        <w:footnoteRef/>
      </w:r>
      <w:r w:rsidRPr="00802D72">
        <w:t xml:space="preserve"> </w:t>
      </w:r>
      <w:r w:rsidRPr="00802D72">
        <w:rPr>
          <w:rFonts w:hint="eastAsia"/>
          <w:rtl/>
        </w:rPr>
        <w:t>ר</w:t>
      </w:r>
      <w:r w:rsidRPr="00802D72">
        <w:rPr>
          <w:rtl/>
        </w:rPr>
        <w:t xml:space="preserve">' </w:t>
      </w:r>
      <w:r w:rsidRPr="00802D72">
        <w:rPr>
          <w:rFonts w:hint="eastAsia"/>
          <w:rtl/>
        </w:rPr>
        <w:t>עמדת</w:t>
      </w:r>
      <w:r w:rsidRPr="00802D72">
        <w:rPr>
          <w:rtl/>
        </w:rPr>
        <w:t xml:space="preserve"> </w:t>
      </w:r>
      <w:r w:rsidRPr="00802D72">
        <w:rPr>
          <w:rFonts w:hint="eastAsia"/>
          <w:rtl/>
        </w:rPr>
        <w:t>הממונה</w:t>
      </w:r>
      <w:r w:rsidRPr="00802D72">
        <w:rPr>
          <w:rtl/>
        </w:rPr>
        <w:t xml:space="preserve"> </w:t>
      </w:r>
      <w:r w:rsidRPr="00802D72">
        <w:rPr>
          <w:rFonts w:hint="eastAsia"/>
          <w:rtl/>
        </w:rPr>
        <w:t>על</w:t>
      </w:r>
      <w:r w:rsidRPr="00802D72">
        <w:rPr>
          <w:rtl/>
        </w:rPr>
        <w:t xml:space="preserve"> </w:t>
      </w:r>
      <w:r w:rsidR="00706E81">
        <w:rPr>
          <w:rFonts w:hint="cs"/>
          <w:rtl/>
        </w:rPr>
        <w:t>התחרות</w:t>
      </w:r>
      <w:r w:rsidRPr="00802D72">
        <w:rPr>
          <w:rtl/>
        </w:rPr>
        <w:t xml:space="preserve"> </w:t>
      </w:r>
      <w:r w:rsidRPr="00802D72">
        <w:rPr>
          <w:rFonts w:hint="eastAsia"/>
          <w:rtl/>
        </w:rPr>
        <w:t>שניתנה</w:t>
      </w:r>
      <w:r w:rsidRPr="00802D72">
        <w:rPr>
          <w:rtl/>
        </w:rPr>
        <w:t xml:space="preserve"> </w:t>
      </w:r>
      <w:r w:rsidRPr="00802D72">
        <w:rPr>
          <w:rFonts w:hint="eastAsia"/>
          <w:rtl/>
        </w:rPr>
        <w:t>במסגרת</w:t>
      </w:r>
      <w:r w:rsidRPr="00802D72">
        <w:rPr>
          <w:rtl/>
        </w:rPr>
        <w:t xml:space="preserve"> </w:t>
      </w:r>
      <w:r w:rsidRPr="00802D72">
        <w:rPr>
          <w:rFonts w:hint="eastAsia"/>
          <w:rtl/>
        </w:rPr>
        <w:t>סגירת</w:t>
      </w:r>
      <w:r w:rsidRPr="00802D72">
        <w:rPr>
          <w:rtl/>
        </w:rPr>
        <w:t xml:space="preserve"> </w:t>
      </w:r>
      <w:r w:rsidRPr="00802D72">
        <w:rPr>
          <w:rFonts w:hint="eastAsia"/>
          <w:rtl/>
        </w:rPr>
        <w:t>התיק</w:t>
      </w:r>
      <w:r w:rsidRPr="00802D72">
        <w:rPr>
          <w:rtl/>
        </w:rPr>
        <w:t xml:space="preserve"> </w:t>
      </w:r>
      <w:r w:rsidRPr="00802D72">
        <w:rPr>
          <w:rFonts w:hint="eastAsia"/>
          <w:rtl/>
        </w:rPr>
        <w:t>בעניינן</w:t>
      </w:r>
      <w:r w:rsidRPr="00802D72">
        <w:rPr>
          <w:rtl/>
        </w:rPr>
        <w:t xml:space="preserve"> </w:t>
      </w:r>
      <w:r w:rsidRPr="00802D72">
        <w:rPr>
          <w:rFonts w:hint="eastAsia"/>
          <w:rtl/>
        </w:rPr>
        <w:t>של</w:t>
      </w:r>
      <w:r w:rsidRPr="00802D72">
        <w:rPr>
          <w:rtl/>
        </w:rPr>
        <w:t xml:space="preserve"> </w:t>
      </w:r>
      <w:r w:rsidRPr="00802D72">
        <w:rPr>
          <w:rFonts w:hint="eastAsia"/>
          <w:rtl/>
        </w:rPr>
        <w:t>התאחדות</w:t>
      </w:r>
      <w:r w:rsidRPr="00802D72">
        <w:rPr>
          <w:rtl/>
        </w:rPr>
        <w:t xml:space="preserve"> </w:t>
      </w:r>
      <w:r w:rsidRPr="00802D72">
        <w:rPr>
          <w:rFonts w:hint="eastAsia"/>
          <w:rtl/>
        </w:rPr>
        <w:t>משרדי</w:t>
      </w:r>
      <w:r w:rsidRPr="00802D72">
        <w:rPr>
          <w:rtl/>
        </w:rPr>
        <w:t xml:space="preserve"> </w:t>
      </w:r>
      <w:r w:rsidRPr="00802D72">
        <w:rPr>
          <w:rFonts w:hint="eastAsia"/>
          <w:rtl/>
        </w:rPr>
        <w:t>הנסיעות</w:t>
      </w:r>
      <w:r w:rsidRPr="00802D72">
        <w:rPr>
          <w:rtl/>
        </w:rPr>
        <w:t xml:space="preserve">, </w:t>
      </w:r>
      <w:r w:rsidRPr="00802D72">
        <w:rPr>
          <w:rFonts w:hint="eastAsia"/>
          <w:rtl/>
        </w:rPr>
        <w:t>דיזנהאוז</w:t>
      </w:r>
      <w:r w:rsidRPr="00802D72">
        <w:rPr>
          <w:rtl/>
        </w:rPr>
        <w:t xml:space="preserve"> </w:t>
      </w:r>
      <w:r w:rsidRPr="00802D72">
        <w:rPr>
          <w:rFonts w:hint="eastAsia"/>
          <w:rtl/>
        </w:rPr>
        <w:t>ואמסלם</w:t>
      </w:r>
      <w:r w:rsidR="0042483B">
        <w:rPr>
          <w:rFonts w:hint="cs"/>
          <w:rtl/>
        </w:rPr>
        <w:t xml:space="preserve"> </w:t>
      </w:r>
      <w:r w:rsidR="00706E81">
        <w:rPr>
          <w:rFonts w:hint="cs"/>
          <w:b/>
          <w:bCs/>
          <w:rtl/>
        </w:rPr>
        <w:t>רשות התחרות</w:t>
      </w:r>
      <w:r w:rsidR="0042483B">
        <w:rPr>
          <w:rtl/>
        </w:rPr>
        <w:t xml:space="preserve"> 501550</w:t>
      </w:r>
      <w:r w:rsidR="0042483B">
        <w:rPr>
          <w:rFonts w:hint="cs"/>
          <w:rtl/>
        </w:rPr>
        <w:t xml:space="preserve"> (</w:t>
      </w:r>
      <w:r w:rsidR="0042483B" w:rsidRPr="00802D72">
        <w:rPr>
          <w:rtl/>
        </w:rPr>
        <w:t>25.7.</w:t>
      </w:r>
      <w:r w:rsidR="0042483B" w:rsidRPr="00802D72">
        <w:rPr>
          <w:rFonts w:hint="cs"/>
          <w:rtl/>
        </w:rPr>
        <w:t>20</w:t>
      </w:r>
      <w:r w:rsidR="0042483B" w:rsidRPr="00802D72">
        <w:rPr>
          <w:rtl/>
        </w:rPr>
        <w:t>18</w:t>
      </w:r>
      <w:r w:rsidR="0042483B" w:rsidRPr="00802D72">
        <w:rPr>
          <w:rFonts w:hint="cs"/>
          <w:rtl/>
        </w:rPr>
        <w:t>)</w:t>
      </w:r>
      <w:r w:rsidR="0042483B">
        <w:rPr>
          <w:rFonts w:hint="cs"/>
          <w:rtl/>
        </w:rPr>
        <w:t>.</w:t>
      </w:r>
    </w:p>
  </w:footnote>
  <w:footnote w:id="10">
    <w:p w14:paraId="73B98B03" w14:textId="77777777" w:rsidR="00802D72" w:rsidRPr="00802D72" w:rsidRDefault="00802D72" w:rsidP="00802D72">
      <w:pPr>
        <w:pStyle w:val="FootnoteText"/>
        <w:rPr>
          <w:rtl/>
        </w:rPr>
      </w:pPr>
      <w:r w:rsidRPr="00802D72">
        <w:rPr>
          <w:rStyle w:val="FootnoteReference"/>
        </w:rPr>
        <w:footnoteRef/>
      </w:r>
      <w:r w:rsidRPr="00802D72">
        <w:t xml:space="preserve">  </w:t>
      </w:r>
      <w:r w:rsidRPr="00802D72">
        <w:rPr>
          <w:rtl/>
        </w:rPr>
        <w:t>ר'</w:t>
      </w:r>
      <w:r w:rsidRPr="00802D72">
        <w:t xml:space="preserve"> </w:t>
      </w:r>
      <w:r w:rsidRPr="00802D72">
        <w:rPr>
          <w:rtl/>
        </w:rPr>
        <w:t>ת"פ</w:t>
      </w:r>
      <w:r w:rsidRPr="00802D72">
        <w:t xml:space="preserve"> </w:t>
      </w:r>
      <w:r w:rsidRPr="00802D72">
        <w:rPr>
          <w:rtl/>
        </w:rPr>
        <w:t>י</w:t>
      </w:r>
      <w:r w:rsidRPr="00802D72">
        <w:t>-</w:t>
      </w:r>
      <w:r w:rsidRPr="00802D72">
        <w:rPr>
          <w:rtl/>
        </w:rPr>
        <w:t xml:space="preserve">ם </w:t>
      </w:r>
      <w:r w:rsidRPr="00802D72">
        <w:t xml:space="preserve"> 22847-12-10</w:t>
      </w:r>
      <w:r w:rsidRPr="00802D72">
        <w:rPr>
          <w:rtl/>
        </w:rPr>
        <w:t>‏</w:t>
      </w:r>
      <w:r w:rsidRPr="00802D72">
        <w:rPr>
          <w:b/>
          <w:bCs/>
          <w:rtl/>
        </w:rPr>
        <w:t>מדינת ישראל נ' נסים בובליל</w:t>
      </w:r>
      <w:r w:rsidRPr="00802D72">
        <w:rPr>
          <w:rFonts w:asciiTheme="minorHAnsi" w:hAnsiTheme="minorHAnsi"/>
          <w:rtl/>
        </w:rPr>
        <w:t xml:space="preserve">, </w:t>
      </w:r>
      <w:r w:rsidRPr="00802D72">
        <w:rPr>
          <w:rtl/>
        </w:rPr>
        <w:t>הכרעת</w:t>
      </w:r>
      <w:r w:rsidRPr="00802D72">
        <w:t xml:space="preserve"> </w:t>
      </w:r>
      <w:r w:rsidRPr="00802D72">
        <w:rPr>
          <w:rtl/>
        </w:rPr>
        <w:t>דין</w:t>
      </w:r>
      <w:r w:rsidRPr="00802D72">
        <w:t xml:space="preserve"> </w:t>
      </w:r>
      <w:r w:rsidRPr="00802D72">
        <w:rPr>
          <w:rtl/>
        </w:rPr>
        <w:t>מיום</w:t>
      </w:r>
      <w:r w:rsidRPr="00802D72">
        <w:t xml:space="preserve"> 13.9.18 </w:t>
      </w:r>
      <w:r w:rsidRPr="00802D72">
        <w:rPr>
          <w:rFonts w:hint="eastAsia"/>
          <w:rtl/>
        </w:rPr>
        <w:t>ס</w:t>
      </w:r>
      <w:r w:rsidRPr="00802D72">
        <w:rPr>
          <w:rtl/>
        </w:rPr>
        <w:t>'</w:t>
      </w:r>
      <w:r w:rsidRPr="00802D72">
        <w:t>141-143</w:t>
      </w:r>
      <w:r w:rsidRPr="00802D72">
        <w:rPr>
          <w:b/>
          <w:bCs/>
        </w:rPr>
        <w:t xml:space="preserve"> </w:t>
      </w:r>
      <w:r w:rsidRPr="00802D72">
        <w:rPr>
          <w:rtl/>
        </w:rPr>
        <w:t>.</w:t>
      </w:r>
    </w:p>
  </w:footnote>
  <w:footnote w:id="11">
    <w:p w14:paraId="3016DD50" w14:textId="77777777" w:rsidR="00802D72" w:rsidRPr="00802D72" w:rsidRDefault="00802D72" w:rsidP="00802D72">
      <w:pPr>
        <w:spacing w:after="0" w:line="240" w:lineRule="auto"/>
        <w:rPr>
          <w:sz w:val="20"/>
          <w:szCs w:val="20"/>
          <w:rtl/>
        </w:rPr>
      </w:pPr>
      <w:r w:rsidRPr="00802D72">
        <w:rPr>
          <w:rStyle w:val="FootnoteReference"/>
          <w:sz w:val="20"/>
          <w:szCs w:val="20"/>
        </w:rPr>
        <w:footnoteRef/>
      </w:r>
      <w:r w:rsidRPr="00802D72">
        <w:rPr>
          <w:rFonts w:hint="cs"/>
          <w:sz w:val="20"/>
          <w:szCs w:val="20"/>
          <w:rtl/>
        </w:rPr>
        <w:t xml:space="preserve"> </w:t>
      </w:r>
      <w:hyperlink r:id="rId3" w:history="1">
        <w:r w:rsidRPr="00802D72">
          <w:rPr>
            <w:rStyle w:val="Hyperlink"/>
            <w:rFonts w:hint="eastAsia"/>
            <w:color w:val="000000"/>
            <w:sz w:val="20"/>
            <w:szCs w:val="20"/>
            <w:u w:val="none"/>
            <w:rtl/>
          </w:rPr>
          <w:t>ע</w:t>
        </w:r>
        <w:r w:rsidRPr="00802D72">
          <w:rPr>
            <w:rStyle w:val="Hyperlink"/>
            <w:color w:val="000000"/>
            <w:sz w:val="20"/>
            <w:szCs w:val="20"/>
            <w:u w:val="none"/>
            <w:rtl/>
          </w:rPr>
          <w:t xml:space="preserve">"פ 4855/02 </w:t>
        </w:r>
        <w:r w:rsidRPr="00802D72">
          <w:rPr>
            <w:rStyle w:val="Hyperlink"/>
            <w:rFonts w:hint="eastAsia"/>
            <w:b/>
            <w:bCs/>
            <w:color w:val="000000"/>
            <w:sz w:val="20"/>
            <w:szCs w:val="20"/>
            <w:u w:val="none"/>
            <w:rtl/>
          </w:rPr>
          <w:t>מדינת</w:t>
        </w:r>
        <w:r w:rsidRPr="00802D72">
          <w:rPr>
            <w:rStyle w:val="Hyperlink"/>
            <w:b/>
            <w:bCs/>
            <w:color w:val="000000"/>
            <w:sz w:val="20"/>
            <w:szCs w:val="20"/>
            <w:u w:val="none"/>
            <w:rtl/>
          </w:rPr>
          <w:t xml:space="preserve"> </w:t>
        </w:r>
        <w:r w:rsidRPr="00802D72">
          <w:rPr>
            <w:rStyle w:val="Hyperlink"/>
            <w:rFonts w:hint="eastAsia"/>
            <w:b/>
            <w:bCs/>
            <w:color w:val="000000"/>
            <w:sz w:val="20"/>
            <w:szCs w:val="20"/>
            <w:u w:val="none"/>
            <w:rtl/>
          </w:rPr>
          <w:t>ישראל</w:t>
        </w:r>
        <w:r w:rsidRPr="00802D72">
          <w:rPr>
            <w:rStyle w:val="Hyperlink"/>
            <w:b/>
            <w:bCs/>
            <w:color w:val="000000"/>
            <w:sz w:val="20"/>
            <w:szCs w:val="20"/>
            <w:u w:val="none"/>
            <w:rtl/>
          </w:rPr>
          <w:t xml:space="preserve"> </w:t>
        </w:r>
        <w:r w:rsidRPr="00802D72">
          <w:rPr>
            <w:rStyle w:val="Hyperlink"/>
            <w:rFonts w:hint="eastAsia"/>
            <w:b/>
            <w:bCs/>
            <w:color w:val="000000"/>
            <w:sz w:val="20"/>
            <w:szCs w:val="20"/>
            <w:u w:val="none"/>
            <w:rtl/>
          </w:rPr>
          <w:t>נ</w:t>
        </w:r>
        <w:r w:rsidRPr="00802D72">
          <w:rPr>
            <w:rStyle w:val="Hyperlink"/>
            <w:b/>
            <w:bCs/>
            <w:color w:val="000000"/>
            <w:sz w:val="20"/>
            <w:szCs w:val="20"/>
            <w:u w:val="none"/>
            <w:rtl/>
          </w:rPr>
          <w:t xml:space="preserve">' </w:t>
        </w:r>
        <w:r w:rsidRPr="00802D72">
          <w:rPr>
            <w:rStyle w:val="Hyperlink"/>
            <w:rFonts w:hint="eastAsia"/>
            <w:b/>
            <w:bCs/>
            <w:color w:val="000000"/>
            <w:sz w:val="20"/>
            <w:szCs w:val="20"/>
            <w:u w:val="none"/>
            <w:rtl/>
          </w:rPr>
          <w:t>ד</w:t>
        </w:r>
        <w:r w:rsidRPr="00802D72">
          <w:rPr>
            <w:rStyle w:val="Hyperlink"/>
            <w:b/>
            <w:bCs/>
            <w:color w:val="000000"/>
            <w:sz w:val="20"/>
            <w:szCs w:val="20"/>
            <w:u w:val="none"/>
            <w:rtl/>
          </w:rPr>
          <w:t xml:space="preserve">"ר </w:t>
        </w:r>
        <w:r w:rsidRPr="00802D72">
          <w:rPr>
            <w:rStyle w:val="Hyperlink"/>
            <w:rFonts w:hint="eastAsia"/>
            <w:b/>
            <w:bCs/>
            <w:color w:val="000000"/>
            <w:sz w:val="20"/>
            <w:szCs w:val="20"/>
            <w:u w:val="none"/>
            <w:rtl/>
          </w:rPr>
          <w:t>איתמר</w:t>
        </w:r>
        <w:r w:rsidRPr="00802D72">
          <w:rPr>
            <w:rStyle w:val="Hyperlink"/>
            <w:b/>
            <w:bCs/>
            <w:color w:val="000000"/>
            <w:sz w:val="20"/>
            <w:szCs w:val="20"/>
            <w:u w:val="none"/>
            <w:rtl/>
          </w:rPr>
          <w:t xml:space="preserve"> </w:t>
        </w:r>
        <w:r w:rsidRPr="00802D72">
          <w:rPr>
            <w:rStyle w:val="Hyperlink"/>
            <w:rFonts w:hint="eastAsia"/>
            <w:b/>
            <w:bCs/>
            <w:color w:val="000000"/>
            <w:sz w:val="20"/>
            <w:szCs w:val="20"/>
            <w:u w:val="none"/>
            <w:rtl/>
          </w:rPr>
          <w:t>בורוביץ</w:t>
        </w:r>
        <w:r w:rsidRPr="00802D72">
          <w:rPr>
            <w:rStyle w:val="Hyperlink"/>
            <w:color w:val="000000"/>
            <w:sz w:val="20"/>
            <w:szCs w:val="20"/>
            <w:u w:val="none"/>
            <w:rtl/>
          </w:rPr>
          <w:t xml:space="preserve"> , נט (6) 776 פס' 101 (פורסם בנבו, 31.03.2005)</w:t>
        </w:r>
      </w:hyperlink>
      <w:r w:rsidRPr="00802D72">
        <w:rPr>
          <w:sz w:val="20"/>
          <w:szCs w:val="20"/>
          <w:rtl/>
        </w:rPr>
        <w:t xml:space="preserve">; </w:t>
      </w:r>
      <w:r w:rsidRPr="00802D72">
        <w:rPr>
          <w:rFonts w:hint="eastAsia"/>
          <w:sz w:val="20"/>
          <w:szCs w:val="20"/>
          <w:rtl/>
        </w:rPr>
        <w:t>כן</w:t>
      </w:r>
      <w:r w:rsidRPr="00802D72">
        <w:rPr>
          <w:rFonts w:hint="cs"/>
          <w:sz w:val="20"/>
          <w:szCs w:val="20"/>
          <w:rtl/>
        </w:rPr>
        <w:t xml:space="preserve">' ר' ת"פ (מח' י-ם) 417/97  </w:t>
      </w:r>
      <w:r w:rsidRPr="00802D72">
        <w:rPr>
          <w:rFonts w:hint="cs"/>
          <w:b/>
          <w:bCs/>
          <w:sz w:val="20"/>
          <w:szCs w:val="20"/>
          <w:rtl/>
        </w:rPr>
        <w:t>מדינת ישראל נ' הפניקס, חברה ישראלית לביטוח בע"מ</w:t>
      </w:r>
      <w:r w:rsidRPr="00802D72">
        <w:rPr>
          <w:rFonts w:hint="cs"/>
          <w:sz w:val="20"/>
          <w:szCs w:val="20"/>
          <w:rtl/>
        </w:rPr>
        <w:t>, החלטה מיום 18.12.2001).</w:t>
      </w:r>
    </w:p>
  </w:footnote>
  <w:footnote w:id="12">
    <w:p w14:paraId="78351D33" w14:textId="77777777" w:rsidR="00802D72" w:rsidRPr="00802D72" w:rsidRDefault="00802D72" w:rsidP="00802D72">
      <w:pPr>
        <w:pStyle w:val="FootnoteText"/>
        <w:rPr>
          <w:color w:val="FF0000"/>
          <w:sz w:val="24"/>
          <w:szCs w:val="24"/>
          <w:rtl/>
        </w:rPr>
      </w:pPr>
      <w:r w:rsidRPr="00802D72">
        <w:rPr>
          <w:rStyle w:val="FootnoteReference"/>
        </w:rPr>
        <w:footnoteRef/>
      </w:r>
      <w:r w:rsidRPr="00802D72">
        <w:rPr>
          <w:rFonts w:hint="cs"/>
          <w:rtl/>
        </w:rPr>
        <w:t xml:space="preserve"> גל ופרלמן</w:t>
      </w:r>
      <w:r w:rsidRPr="00802D72">
        <w:rPr>
          <w:rFonts w:hint="cs"/>
          <w:b/>
          <w:bCs/>
          <w:rtl/>
        </w:rPr>
        <w:t xml:space="preserve">, ניתוח משפטי וכלכלי של דיני ההגבלים העסקיים, </w:t>
      </w:r>
      <w:r w:rsidRPr="00802D72">
        <w:rPr>
          <w:rFonts w:hint="cs"/>
          <w:rtl/>
        </w:rPr>
        <w:t>לעיל ה"ש 7, בעמ' 311.</w:t>
      </w:r>
    </w:p>
  </w:footnote>
  <w:footnote w:id="13">
    <w:p w14:paraId="28AE373F" w14:textId="77777777" w:rsidR="00802D72" w:rsidRPr="00802D72" w:rsidRDefault="00802D72" w:rsidP="00706E81">
      <w:pPr>
        <w:pStyle w:val="BodyText"/>
        <w:spacing w:after="0" w:line="240" w:lineRule="auto"/>
        <w:rPr>
          <w:sz w:val="20"/>
          <w:szCs w:val="20"/>
        </w:rPr>
      </w:pPr>
      <w:r w:rsidRPr="00802D72">
        <w:rPr>
          <w:rStyle w:val="FootnoteReference"/>
        </w:rPr>
        <w:footnoteRef/>
      </w:r>
      <w:r w:rsidRPr="00802D72">
        <w:rPr>
          <w:rFonts w:hint="cs"/>
          <w:sz w:val="22"/>
          <w:rtl/>
        </w:rPr>
        <w:t xml:space="preserve"> </w:t>
      </w:r>
      <w:hyperlink r:id="rId4" w:history="1">
        <w:r w:rsidRPr="00802D72">
          <w:rPr>
            <w:rStyle w:val="Hyperlink"/>
            <w:rFonts w:hint="cs"/>
            <w:color w:val="000000"/>
            <w:sz w:val="20"/>
            <w:szCs w:val="20"/>
            <w:u w:val="none"/>
            <w:rtl/>
          </w:rPr>
          <w:t xml:space="preserve">ע"ש (י-ם) 1049/00 </w:t>
        </w:r>
        <w:r w:rsidRPr="00802D72">
          <w:rPr>
            <w:rStyle w:val="Hyperlink"/>
            <w:rFonts w:hint="cs"/>
            <w:b/>
            <w:bCs/>
            <w:color w:val="000000"/>
            <w:sz w:val="20"/>
            <w:szCs w:val="20"/>
            <w:u w:val="none"/>
            <w:rtl/>
          </w:rPr>
          <w:t xml:space="preserve">התאחדות בעלי אולמות ואירועים בישראל נ' היועץ המשפטי לממשלה </w:t>
        </w:r>
        <w:r w:rsidRPr="00802D72">
          <w:rPr>
            <w:rStyle w:val="Hyperlink"/>
            <w:rFonts w:hint="cs"/>
            <w:color w:val="000000"/>
            <w:sz w:val="20"/>
            <w:szCs w:val="20"/>
            <w:u w:val="none"/>
            <w:rtl/>
          </w:rPr>
          <w:t>(פורסם בנבו, 19.03.2002)</w:t>
        </w:r>
      </w:hyperlink>
      <w:r w:rsidRPr="00802D72">
        <w:rPr>
          <w:rFonts w:hint="cs"/>
          <w:sz w:val="20"/>
          <w:szCs w:val="20"/>
          <w:rtl/>
        </w:rPr>
        <w:t xml:space="preserve"> (להלן: עניין</w:t>
      </w:r>
      <w:r w:rsidRPr="00802D72">
        <w:rPr>
          <w:rFonts w:hint="cs"/>
          <w:b/>
          <w:bCs/>
          <w:sz w:val="20"/>
          <w:szCs w:val="20"/>
          <w:rtl/>
        </w:rPr>
        <w:t xml:space="preserve"> התאחדות בעלי האולמות</w:t>
      </w:r>
      <w:r w:rsidRPr="00802D72">
        <w:rPr>
          <w:rFonts w:hint="cs"/>
          <w:sz w:val="20"/>
          <w:szCs w:val="20"/>
          <w:rtl/>
        </w:rPr>
        <w:t>);</w:t>
      </w:r>
      <w:r w:rsidRPr="00802D72">
        <w:rPr>
          <w:rFonts w:hint="cs"/>
          <w:b/>
          <w:bCs/>
          <w:sz w:val="20"/>
          <w:szCs w:val="20"/>
          <w:rtl/>
        </w:rPr>
        <w:t xml:space="preserve"> עניין בתי החולים הגריאטריים, </w:t>
      </w:r>
      <w:r w:rsidRPr="00802D72">
        <w:rPr>
          <w:rFonts w:hint="cs"/>
          <w:sz w:val="20"/>
          <w:szCs w:val="20"/>
          <w:rtl/>
        </w:rPr>
        <w:t>לעיל ה"ש 6,</w:t>
      </w:r>
      <w:r w:rsidRPr="00802D72">
        <w:rPr>
          <w:rFonts w:hint="cs"/>
          <w:b/>
          <w:bCs/>
          <w:sz w:val="20"/>
          <w:szCs w:val="20"/>
          <w:rtl/>
        </w:rPr>
        <w:t xml:space="preserve"> </w:t>
      </w:r>
      <w:r w:rsidRPr="00802D72">
        <w:rPr>
          <w:rFonts w:hint="cs"/>
          <w:sz w:val="20"/>
          <w:szCs w:val="20"/>
          <w:rtl/>
        </w:rPr>
        <w:t>בפסקה 49;</w:t>
      </w:r>
      <w:r w:rsidRPr="00802D72">
        <w:rPr>
          <w:rFonts w:hint="cs"/>
          <w:sz w:val="22"/>
          <w:rtl/>
        </w:rPr>
        <w:t xml:space="preserve"> </w:t>
      </w:r>
      <w:r w:rsidRPr="00706E81">
        <w:rPr>
          <w:rStyle w:val="Strong"/>
          <w:rFonts w:hint="cs"/>
          <w:b w:val="0"/>
          <w:bCs w:val="0"/>
          <w:sz w:val="20"/>
          <w:szCs w:val="20"/>
          <w:rtl/>
        </w:rPr>
        <w:t xml:space="preserve">החלטה של הממונה על </w:t>
      </w:r>
      <w:r w:rsidR="00706E81" w:rsidRPr="00706E81">
        <w:rPr>
          <w:rStyle w:val="Strong"/>
          <w:rFonts w:hint="cs"/>
          <w:b w:val="0"/>
          <w:bCs w:val="0"/>
          <w:sz w:val="20"/>
          <w:szCs w:val="20"/>
          <w:rtl/>
        </w:rPr>
        <w:t>התחרות</w:t>
      </w:r>
      <w:r w:rsidRPr="00706E81">
        <w:rPr>
          <w:rStyle w:val="Strong"/>
          <w:rFonts w:hint="cs"/>
          <w:b w:val="0"/>
          <w:bCs w:val="0"/>
          <w:sz w:val="20"/>
          <w:szCs w:val="20"/>
          <w:rtl/>
        </w:rPr>
        <w:t xml:space="preserve"> </w:t>
      </w:r>
      <w:r w:rsidR="00706E81" w:rsidRPr="00706E81">
        <w:rPr>
          <w:rStyle w:val="Strong"/>
          <w:rFonts w:hint="cs"/>
          <w:b w:val="0"/>
          <w:bCs w:val="0"/>
          <w:rtl/>
        </w:rPr>
        <w:t>"</w:t>
      </w:r>
      <w:r w:rsidRPr="00802D72">
        <w:rPr>
          <w:rFonts w:hint="cs"/>
          <w:sz w:val="20"/>
          <w:szCs w:val="20"/>
          <w:rtl/>
        </w:rPr>
        <w:t>החלטה לפי סעיף 14 לחוק ההגבלים העסקיים, התשמ"ח-1988: מתן פטור מאישור הסדר כובל להסדר בין סלקום ישראל בע"מ, פרטנר תקשורת בע"מ, פלאפון תקשורת בע"מ ו-</w:t>
      </w:r>
      <w:r w:rsidRPr="00802D72">
        <w:rPr>
          <w:sz w:val="20"/>
          <w:szCs w:val="20"/>
        </w:rPr>
        <w:t>LECG LTD</w:t>
      </w:r>
      <w:r w:rsidRPr="00802D72">
        <w:rPr>
          <w:rFonts w:hint="cs"/>
          <w:sz w:val="20"/>
          <w:szCs w:val="20"/>
          <w:rtl/>
        </w:rPr>
        <w:t xml:space="preserve">" </w:t>
      </w:r>
      <w:r w:rsidR="00706E81">
        <w:rPr>
          <w:rFonts w:hint="cs"/>
          <w:b/>
          <w:bCs/>
          <w:sz w:val="20"/>
          <w:szCs w:val="20"/>
          <w:rtl/>
        </w:rPr>
        <w:t>רשות התחרות</w:t>
      </w:r>
      <w:r w:rsidRPr="00802D72">
        <w:rPr>
          <w:rFonts w:hint="cs"/>
          <w:sz w:val="20"/>
          <w:szCs w:val="20"/>
          <w:rtl/>
        </w:rPr>
        <w:t xml:space="preserve"> 5000601 (12.7.2007).</w:t>
      </w:r>
    </w:p>
  </w:footnote>
  <w:footnote w:id="14">
    <w:p w14:paraId="3E8A4055" w14:textId="77777777" w:rsidR="00802D72" w:rsidRPr="00802D72" w:rsidRDefault="00802D72" w:rsidP="00706E81">
      <w:pPr>
        <w:pStyle w:val="FootnoteText"/>
        <w:rPr>
          <w:color w:val="FF0000"/>
          <w:sz w:val="24"/>
          <w:szCs w:val="24"/>
          <w:rtl/>
        </w:rPr>
      </w:pPr>
      <w:r w:rsidRPr="00802D72">
        <w:rPr>
          <w:rStyle w:val="FootnoteReference"/>
        </w:rPr>
        <w:footnoteRef/>
      </w:r>
      <w:r w:rsidRPr="00802D72">
        <w:rPr>
          <w:rFonts w:hint="cs"/>
          <w:rtl/>
        </w:rPr>
        <w:t xml:space="preserve"> ת"פ 4016-06-12 </w:t>
      </w:r>
      <w:r w:rsidRPr="00802D72">
        <w:rPr>
          <w:rFonts w:hint="cs"/>
          <w:b/>
          <w:bCs/>
          <w:rtl/>
        </w:rPr>
        <w:t>מדינת ישראל נ' שוהם</w:t>
      </w:r>
      <w:r w:rsidRPr="00802D72">
        <w:rPr>
          <w:rFonts w:hint="cs"/>
          <w:rtl/>
        </w:rPr>
        <w:t xml:space="preserve"> </w:t>
      </w:r>
      <w:r w:rsidRPr="00802D72">
        <w:rPr>
          <w:rFonts w:hint="cs"/>
          <w:b/>
          <w:bCs/>
          <w:rtl/>
        </w:rPr>
        <w:t>ואח'</w:t>
      </w:r>
      <w:r w:rsidRPr="00802D72">
        <w:rPr>
          <w:rFonts w:hint="cs"/>
          <w:rtl/>
        </w:rPr>
        <w:t xml:space="preserve">, הכרעת דין מיום 23.2.2014, </w:t>
      </w:r>
      <w:r w:rsidR="00706E81">
        <w:rPr>
          <w:rFonts w:hint="cs"/>
          <w:b/>
          <w:bCs/>
          <w:rtl/>
        </w:rPr>
        <w:t>רשות התחרות</w:t>
      </w:r>
      <w:r w:rsidRPr="00802D72">
        <w:rPr>
          <w:rFonts w:hint="cs"/>
          <w:rtl/>
        </w:rPr>
        <w:t xml:space="preserve"> 500570, פס' 41 (2014) (להלן: עניין </w:t>
      </w:r>
      <w:r w:rsidRPr="00802D72">
        <w:rPr>
          <w:rFonts w:hint="cs"/>
          <w:b/>
          <w:bCs/>
          <w:rtl/>
        </w:rPr>
        <w:t>שוהם</w:t>
      </w:r>
      <w:r w:rsidRPr="00802D72">
        <w:rPr>
          <w:rFonts w:hint="cs"/>
          <w:rtl/>
        </w:rPr>
        <w:t xml:space="preserve">); דנ"א 4465/98 </w:t>
      </w:r>
      <w:r w:rsidRPr="00802D72">
        <w:rPr>
          <w:rFonts w:hint="cs"/>
          <w:b/>
          <w:bCs/>
          <w:rtl/>
        </w:rPr>
        <w:t>טבעול (1993) בע"מ נ' שף הים (1994) בע"מ</w:t>
      </w:r>
      <w:r w:rsidRPr="00802D72">
        <w:rPr>
          <w:rFonts w:hint="cs"/>
          <w:rtl/>
        </w:rPr>
        <w:t xml:space="preserve">, פ"ד נו(1) 56, 98 (2001); </w:t>
      </w:r>
      <w:r w:rsidRPr="00802D72">
        <w:rPr>
          <w:rFonts w:hint="cs"/>
          <w:b/>
          <w:bCs/>
          <w:rtl/>
        </w:rPr>
        <w:t>עניין בתי החולים הגריאטריים,</w:t>
      </w:r>
      <w:r w:rsidRPr="00802D72">
        <w:rPr>
          <w:rFonts w:hint="cs"/>
          <w:rtl/>
        </w:rPr>
        <w:t xml:space="preserve"> לעיל ה"ש 6, פס' 54 ואילך. </w:t>
      </w:r>
    </w:p>
  </w:footnote>
  <w:footnote w:id="15">
    <w:p w14:paraId="58D2CB8D" w14:textId="77777777" w:rsidR="00802D72" w:rsidRPr="00802D72" w:rsidRDefault="00802D72" w:rsidP="00802D72">
      <w:pPr>
        <w:pStyle w:val="FootnoteText"/>
        <w:rPr>
          <w:rtl/>
        </w:rPr>
      </w:pPr>
      <w:r w:rsidRPr="00802D72">
        <w:rPr>
          <w:rStyle w:val="FootnoteReference"/>
        </w:rPr>
        <w:footnoteRef/>
      </w:r>
      <w:r w:rsidRPr="00802D72">
        <w:rPr>
          <w:rFonts w:hint="cs"/>
          <w:rtl/>
        </w:rPr>
        <w:t xml:space="preserve"> קיום המלצה ייבחן לפי מבחן של מהות, בלא תלות בהגדרתה או במשפטים מסייגים כגון "מסמך זה אינו מהווה המלצה". </w:t>
      </w:r>
    </w:p>
  </w:footnote>
  <w:footnote w:id="16">
    <w:p w14:paraId="29D7D5C9" w14:textId="77777777" w:rsidR="00802D72" w:rsidRPr="00802D72" w:rsidRDefault="00802D72" w:rsidP="00ED11B7">
      <w:pPr>
        <w:pStyle w:val="FootnoteText"/>
        <w:rPr>
          <w:rtl/>
        </w:rPr>
      </w:pPr>
      <w:r w:rsidRPr="00802D72">
        <w:rPr>
          <w:rStyle w:val="FootnoteReference"/>
        </w:rPr>
        <w:footnoteRef/>
      </w:r>
      <w:r w:rsidRPr="00802D72">
        <w:rPr>
          <w:rFonts w:hint="cs"/>
          <w:rtl/>
        </w:rPr>
        <w:t xml:space="preserve"> עניין </w:t>
      </w:r>
      <w:r w:rsidRPr="00802D72">
        <w:rPr>
          <w:rFonts w:hint="cs"/>
          <w:b/>
          <w:bCs/>
          <w:rtl/>
        </w:rPr>
        <w:t>שוהם</w:t>
      </w:r>
      <w:r w:rsidRPr="00802D72">
        <w:rPr>
          <w:rFonts w:hint="cs"/>
          <w:rtl/>
        </w:rPr>
        <w:t xml:space="preserve">, לעיל ה"ש 14, פס' 19; ערר 2/89 </w:t>
      </w:r>
      <w:r w:rsidRPr="00802D72">
        <w:rPr>
          <w:rFonts w:hint="cs"/>
          <w:b/>
          <w:bCs/>
          <w:rtl/>
        </w:rPr>
        <w:t>מועצת המובילים בישראל נ' הממונה על ההגבלים העסקיים</w:t>
      </w:r>
      <w:r w:rsidRPr="00802D72">
        <w:rPr>
          <w:rFonts w:hint="cs"/>
          <w:rtl/>
        </w:rPr>
        <w:t>,</w:t>
      </w:r>
      <w:r w:rsidRPr="00706E81">
        <w:rPr>
          <w:rFonts w:hint="cs"/>
          <w:rtl/>
        </w:rPr>
        <w:t xml:space="preserve"> (פורסם</w:t>
      </w:r>
      <w:r w:rsidRPr="00802D72">
        <w:rPr>
          <w:rFonts w:hint="cs"/>
          <w:rtl/>
        </w:rPr>
        <w:t xml:space="preserve"> באתר </w:t>
      </w:r>
      <w:r w:rsidR="00ED11B7">
        <w:rPr>
          <w:rFonts w:hint="cs"/>
          <w:rtl/>
        </w:rPr>
        <w:t>רשות התחרות,</w:t>
      </w:r>
      <w:r w:rsidRPr="00802D72">
        <w:rPr>
          <w:rFonts w:hint="cs"/>
          <w:b/>
          <w:bCs/>
          <w:rtl/>
        </w:rPr>
        <w:t xml:space="preserve"> </w:t>
      </w:r>
      <w:r w:rsidR="00706E81">
        <w:rPr>
          <w:rFonts w:hint="cs"/>
          <w:b/>
          <w:bCs/>
          <w:rtl/>
        </w:rPr>
        <w:t>רשות התחרות</w:t>
      </w:r>
      <w:r w:rsidRPr="00802D72">
        <w:rPr>
          <w:rFonts w:hint="cs"/>
          <w:rtl/>
        </w:rPr>
        <w:t xml:space="preserve"> 3001546, 1991) (להלן: ערר בעניין </w:t>
      </w:r>
      <w:r w:rsidRPr="00802D72">
        <w:rPr>
          <w:rFonts w:hint="cs"/>
          <w:b/>
          <w:bCs/>
          <w:rtl/>
        </w:rPr>
        <w:t>מועצת המובילים</w:t>
      </w:r>
      <w:r w:rsidRPr="00802D72">
        <w:rPr>
          <w:rFonts w:hint="cs"/>
          <w:rtl/>
        </w:rPr>
        <w:t>);</w:t>
      </w:r>
      <w:r w:rsidRPr="00802D72">
        <w:rPr>
          <w:rFonts w:hint="cs"/>
          <w:b/>
          <w:bCs/>
          <w:rtl/>
        </w:rPr>
        <w:t xml:space="preserve"> עניין בתי החולים הגריאטריים,</w:t>
      </w:r>
      <w:r w:rsidRPr="00802D72">
        <w:rPr>
          <w:rFonts w:hint="cs"/>
          <w:rtl/>
        </w:rPr>
        <w:t xml:space="preserve"> לעיל ה"ש 6, פס' 47 ואילך; החלטה של הממונה על </w:t>
      </w:r>
      <w:r w:rsidR="00706E81">
        <w:rPr>
          <w:rFonts w:hint="cs"/>
          <w:rtl/>
        </w:rPr>
        <w:t>התחרות</w:t>
      </w:r>
      <w:r w:rsidRPr="00802D72">
        <w:rPr>
          <w:rFonts w:hint="cs"/>
          <w:rtl/>
        </w:rPr>
        <w:t xml:space="preserve"> "החלטה לפי סעיף 14 לחוק ההגבלים העסקיים, התשמ"ח-1988 בדבר מתן פטור מאישור הסדר כובל הסדר בין חברי לשכת עורכי הדין" </w:t>
      </w:r>
      <w:r w:rsidR="00706E81">
        <w:rPr>
          <w:rFonts w:hint="cs"/>
          <w:b/>
          <w:bCs/>
          <w:rtl/>
        </w:rPr>
        <w:t>רשות התחרות</w:t>
      </w:r>
      <w:r w:rsidRPr="00802D72">
        <w:rPr>
          <w:rFonts w:hint="cs"/>
          <w:rtl/>
        </w:rPr>
        <w:t xml:space="preserve"> 5000697 (14.2.2004) בעניין פטור למבצע מוגבל בזמן למתן שירותי עריכת צוואה על ידי חברי לשכת עורכי הדין בתעריף מקסימלי מומלץ (להלן: </w:t>
      </w:r>
      <w:r w:rsidRPr="00802D72">
        <w:rPr>
          <w:rFonts w:hint="cs"/>
          <w:b/>
          <w:bCs/>
          <w:rtl/>
        </w:rPr>
        <w:t>פטור</w:t>
      </w:r>
      <w:r w:rsidRPr="00802D72">
        <w:rPr>
          <w:rFonts w:hint="cs"/>
          <w:b/>
          <w:bCs/>
        </w:rPr>
        <w:t xml:space="preserve"> </w:t>
      </w:r>
      <w:r w:rsidRPr="00802D72">
        <w:rPr>
          <w:rFonts w:hint="cs"/>
          <w:b/>
          <w:bCs/>
          <w:rtl/>
        </w:rPr>
        <w:t>להסדר</w:t>
      </w:r>
      <w:r w:rsidRPr="00802D72">
        <w:rPr>
          <w:rFonts w:hint="cs"/>
          <w:b/>
          <w:bCs/>
        </w:rPr>
        <w:t xml:space="preserve"> </w:t>
      </w:r>
      <w:r w:rsidRPr="00802D72">
        <w:rPr>
          <w:rFonts w:hint="cs"/>
          <w:b/>
          <w:bCs/>
          <w:rtl/>
        </w:rPr>
        <w:t>בין</w:t>
      </w:r>
      <w:r w:rsidRPr="00802D72">
        <w:rPr>
          <w:rFonts w:hint="cs"/>
          <w:b/>
          <w:bCs/>
        </w:rPr>
        <w:t xml:space="preserve"> </w:t>
      </w:r>
      <w:r w:rsidRPr="00802D72">
        <w:rPr>
          <w:rFonts w:hint="cs"/>
          <w:b/>
          <w:bCs/>
          <w:rtl/>
        </w:rPr>
        <w:t>חברי</w:t>
      </w:r>
      <w:r w:rsidRPr="00802D72">
        <w:rPr>
          <w:rFonts w:hint="cs"/>
          <w:b/>
          <w:bCs/>
        </w:rPr>
        <w:t xml:space="preserve"> </w:t>
      </w:r>
      <w:r w:rsidRPr="00802D72">
        <w:rPr>
          <w:rFonts w:hint="cs"/>
          <w:b/>
          <w:bCs/>
          <w:rtl/>
        </w:rPr>
        <w:t>לשכת</w:t>
      </w:r>
      <w:r w:rsidRPr="00802D72">
        <w:rPr>
          <w:rFonts w:hint="cs"/>
          <w:b/>
          <w:bCs/>
        </w:rPr>
        <w:t xml:space="preserve"> </w:t>
      </w:r>
      <w:r w:rsidRPr="00802D72">
        <w:rPr>
          <w:rFonts w:hint="cs"/>
          <w:b/>
          <w:bCs/>
          <w:rtl/>
        </w:rPr>
        <w:t>עורכי</w:t>
      </w:r>
      <w:r w:rsidRPr="00802D72">
        <w:rPr>
          <w:rFonts w:hint="cs"/>
          <w:b/>
          <w:bCs/>
        </w:rPr>
        <w:t xml:space="preserve"> </w:t>
      </w:r>
      <w:r w:rsidRPr="00802D72">
        <w:rPr>
          <w:rFonts w:hint="cs"/>
          <w:b/>
          <w:bCs/>
          <w:rtl/>
        </w:rPr>
        <w:t>הדין</w:t>
      </w:r>
      <w:r w:rsidRPr="00802D72">
        <w:rPr>
          <w:rFonts w:hint="cs"/>
          <w:rtl/>
        </w:rPr>
        <w:t>).</w:t>
      </w:r>
    </w:p>
  </w:footnote>
  <w:footnote w:id="17">
    <w:p w14:paraId="583159A2" w14:textId="77777777" w:rsidR="00802D72" w:rsidRPr="00802D72" w:rsidRDefault="00802D72" w:rsidP="0072072E">
      <w:pPr>
        <w:pStyle w:val="FootnoteText"/>
        <w:rPr>
          <w:color w:val="FF0000"/>
          <w:rtl/>
        </w:rPr>
      </w:pPr>
      <w:r w:rsidRPr="00802D72">
        <w:rPr>
          <w:rStyle w:val="FootnoteReference"/>
        </w:rPr>
        <w:footnoteRef/>
      </w:r>
      <w:r w:rsidRPr="00802D72">
        <w:rPr>
          <w:rFonts w:hint="cs"/>
          <w:rtl/>
        </w:rPr>
        <w:t xml:space="preserve"> ערר בעניין </w:t>
      </w:r>
      <w:r w:rsidRPr="00802D72">
        <w:rPr>
          <w:rFonts w:hint="cs"/>
          <w:b/>
          <w:bCs/>
          <w:rtl/>
        </w:rPr>
        <w:t xml:space="preserve">מועצת המובילים, </w:t>
      </w:r>
      <w:r w:rsidRPr="00802D72">
        <w:rPr>
          <w:rFonts w:hint="cs"/>
          <w:rtl/>
        </w:rPr>
        <w:t xml:space="preserve">לעיל ה"ש </w:t>
      </w:r>
      <w:r w:rsidR="0072072E">
        <w:rPr>
          <w:rFonts w:hint="cs"/>
          <w:rtl/>
        </w:rPr>
        <w:t>16</w:t>
      </w:r>
      <w:r w:rsidRPr="00802D72">
        <w:rPr>
          <w:rFonts w:hint="cs"/>
          <w:rtl/>
        </w:rPr>
        <w:t>;</w:t>
      </w:r>
      <w:hyperlink r:id="rId5" w:history="1">
        <w:r w:rsidRPr="00802D72">
          <w:rPr>
            <w:rStyle w:val="Hyperlink"/>
            <w:rFonts w:hint="cs"/>
            <w:color w:val="000000"/>
            <w:u w:val="none"/>
            <w:rtl/>
          </w:rPr>
          <w:t xml:space="preserve"> עניין</w:t>
        </w:r>
        <w:r w:rsidRPr="00802D72">
          <w:rPr>
            <w:rStyle w:val="Hyperlink"/>
            <w:rFonts w:hint="cs"/>
            <w:b/>
            <w:bCs/>
            <w:color w:val="000000"/>
            <w:u w:val="none"/>
            <w:rtl/>
          </w:rPr>
          <w:t xml:space="preserve"> התאחדות בעלי האולמות, </w:t>
        </w:r>
        <w:r w:rsidRPr="00802D72">
          <w:rPr>
            <w:rStyle w:val="Hyperlink"/>
            <w:rFonts w:hint="cs"/>
            <w:color w:val="000000"/>
            <w:u w:val="none"/>
            <w:rtl/>
          </w:rPr>
          <w:t>לעיל ה"ש 13;</w:t>
        </w:r>
        <w:r w:rsidRPr="00802D72">
          <w:rPr>
            <w:rStyle w:val="Hyperlink"/>
            <w:color w:val="000000"/>
            <w:u w:val="none"/>
          </w:rPr>
          <w:t xml:space="preserve"> </w:t>
        </w:r>
      </w:hyperlink>
      <w:r w:rsidRPr="00802D72">
        <w:rPr>
          <w:rFonts w:hint="cs"/>
          <w:b/>
          <w:bCs/>
          <w:rtl/>
        </w:rPr>
        <w:t>עניין בתי החולים הגריאטריים,</w:t>
      </w:r>
      <w:r w:rsidRPr="00802D72">
        <w:rPr>
          <w:rFonts w:hint="cs"/>
          <w:rtl/>
        </w:rPr>
        <w:t xml:space="preserve"> לעיל ה"ש 6, פס' 47 ואילך;</w:t>
      </w:r>
      <w:r w:rsidRPr="00802D72">
        <w:rPr>
          <w:rFonts w:hint="cs"/>
          <w:b/>
          <w:bCs/>
          <w:rtl/>
        </w:rPr>
        <w:t xml:space="preserve"> פטור</w:t>
      </w:r>
      <w:r w:rsidRPr="00802D72">
        <w:rPr>
          <w:rFonts w:hint="cs"/>
          <w:b/>
          <w:bCs/>
        </w:rPr>
        <w:t xml:space="preserve"> </w:t>
      </w:r>
      <w:r w:rsidRPr="00802D72">
        <w:rPr>
          <w:rFonts w:hint="cs"/>
          <w:b/>
          <w:bCs/>
          <w:rtl/>
        </w:rPr>
        <w:t>להסדר</w:t>
      </w:r>
      <w:r w:rsidRPr="00802D72">
        <w:rPr>
          <w:rFonts w:hint="cs"/>
          <w:b/>
          <w:bCs/>
        </w:rPr>
        <w:t xml:space="preserve"> </w:t>
      </w:r>
      <w:r w:rsidRPr="00802D72">
        <w:rPr>
          <w:rFonts w:hint="cs"/>
          <w:b/>
          <w:bCs/>
          <w:rtl/>
        </w:rPr>
        <w:t>בין</w:t>
      </w:r>
      <w:r w:rsidRPr="00802D72">
        <w:rPr>
          <w:rFonts w:hint="cs"/>
          <w:b/>
          <w:bCs/>
        </w:rPr>
        <w:t xml:space="preserve"> </w:t>
      </w:r>
      <w:r w:rsidRPr="00802D72">
        <w:rPr>
          <w:rFonts w:hint="cs"/>
          <w:b/>
          <w:bCs/>
          <w:rtl/>
        </w:rPr>
        <w:t>חברי</w:t>
      </w:r>
      <w:r w:rsidRPr="00802D72">
        <w:rPr>
          <w:rFonts w:hint="cs"/>
          <w:b/>
          <w:bCs/>
        </w:rPr>
        <w:t xml:space="preserve"> </w:t>
      </w:r>
      <w:r w:rsidRPr="00802D72">
        <w:rPr>
          <w:rFonts w:hint="cs"/>
          <w:b/>
          <w:bCs/>
          <w:rtl/>
        </w:rPr>
        <w:t>לשכת</w:t>
      </w:r>
      <w:r w:rsidRPr="00802D72">
        <w:rPr>
          <w:rFonts w:hint="cs"/>
          <w:b/>
          <w:bCs/>
        </w:rPr>
        <w:t xml:space="preserve"> </w:t>
      </w:r>
      <w:r w:rsidRPr="00802D72">
        <w:rPr>
          <w:rFonts w:hint="cs"/>
          <w:b/>
          <w:bCs/>
          <w:rtl/>
        </w:rPr>
        <w:t>עורכי</w:t>
      </w:r>
      <w:r w:rsidRPr="00802D72">
        <w:rPr>
          <w:rFonts w:hint="cs"/>
          <w:b/>
          <w:bCs/>
        </w:rPr>
        <w:t xml:space="preserve"> </w:t>
      </w:r>
      <w:r w:rsidRPr="00802D72">
        <w:rPr>
          <w:rFonts w:hint="cs"/>
          <w:b/>
          <w:bCs/>
          <w:rtl/>
        </w:rPr>
        <w:t>הדין</w:t>
      </w:r>
      <w:r w:rsidRPr="00802D72">
        <w:rPr>
          <w:rFonts w:hint="cs"/>
          <w:rtl/>
        </w:rPr>
        <w:t xml:space="preserve">, לעיל ה"ש </w:t>
      </w:r>
      <w:r w:rsidR="0072072E">
        <w:rPr>
          <w:rFonts w:hint="cs"/>
          <w:rtl/>
        </w:rPr>
        <w:t>16</w:t>
      </w:r>
      <w:hyperlink r:id="rId6" w:history="1">
        <w:r w:rsidRPr="00802D72">
          <w:rPr>
            <w:rStyle w:val="Hyperlink"/>
            <w:rFonts w:hint="cs"/>
            <w:color w:val="000000"/>
            <w:u w:val="none"/>
            <w:rtl/>
          </w:rPr>
          <w:t>.</w:t>
        </w:r>
      </w:hyperlink>
    </w:p>
  </w:footnote>
  <w:footnote w:id="18">
    <w:p w14:paraId="78487EFB" w14:textId="77777777" w:rsidR="00802D72" w:rsidRPr="00802D72" w:rsidRDefault="00802D72" w:rsidP="00802D72">
      <w:pPr>
        <w:spacing w:after="0" w:line="240" w:lineRule="auto"/>
        <w:rPr>
          <w:sz w:val="22"/>
          <w:rtl/>
        </w:rPr>
      </w:pPr>
      <w:r w:rsidRPr="00802D72">
        <w:rPr>
          <w:rStyle w:val="FootnoteReference"/>
        </w:rPr>
        <w:footnoteRef/>
      </w:r>
      <w:hyperlink r:id="rId7" w:history="1">
        <w:r w:rsidRPr="00802D72">
          <w:rPr>
            <w:rStyle w:val="Hyperlink"/>
            <w:rFonts w:hint="cs"/>
            <w:color w:val="000000"/>
            <w:sz w:val="20"/>
            <w:szCs w:val="20"/>
            <w:u w:val="none"/>
            <w:rtl/>
          </w:rPr>
          <w:t xml:space="preserve"> ת</w:t>
        </w:r>
        <w:r w:rsidRPr="00802D72">
          <w:rPr>
            <w:rStyle w:val="Hyperlink"/>
            <w:color w:val="000000"/>
            <w:sz w:val="20"/>
            <w:szCs w:val="20"/>
            <w:u w:val="none"/>
            <w:rtl/>
          </w:rPr>
          <w:t xml:space="preserve">"פ (י-ם) 22847-12-10 </w:t>
        </w:r>
        <w:r w:rsidRPr="00802D72">
          <w:rPr>
            <w:rStyle w:val="Hyperlink"/>
            <w:rFonts w:hint="eastAsia"/>
            <w:b/>
            <w:bCs/>
            <w:color w:val="000000"/>
            <w:sz w:val="20"/>
            <w:szCs w:val="20"/>
            <w:u w:val="none"/>
            <w:rtl/>
          </w:rPr>
          <w:t>מדינת</w:t>
        </w:r>
        <w:r w:rsidRPr="00802D72">
          <w:rPr>
            <w:rStyle w:val="Hyperlink"/>
            <w:b/>
            <w:bCs/>
            <w:color w:val="000000"/>
            <w:sz w:val="20"/>
            <w:szCs w:val="20"/>
            <w:u w:val="none"/>
            <w:rtl/>
          </w:rPr>
          <w:t xml:space="preserve"> </w:t>
        </w:r>
        <w:r w:rsidRPr="00802D72">
          <w:rPr>
            <w:rStyle w:val="Hyperlink"/>
            <w:rFonts w:hint="eastAsia"/>
            <w:b/>
            <w:bCs/>
            <w:color w:val="000000"/>
            <w:sz w:val="20"/>
            <w:szCs w:val="20"/>
            <w:u w:val="none"/>
            <w:rtl/>
          </w:rPr>
          <w:t>ישראל</w:t>
        </w:r>
        <w:r w:rsidRPr="00802D72">
          <w:rPr>
            <w:rStyle w:val="Hyperlink"/>
            <w:b/>
            <w:bCs/>
            <w:color w:val="000000"/>
            <w:sz w:val="20"/>
            <w:szCs w:val="20"/>
            <w:u w:val="none"/>
            <w:rtl/>
          </w:rPr>
          <w:t xml:space="preserve"> </w:t>
        </w:r>
        <w:r w:rsidRPr="00802D72">
          <w:rPr>
            <w:rStyle w:val="Hyperlink"/>
            <w:rFonts w:hint="eastAsia"/>
            <w:b/>
            <w:bCs/>
            <w:color w:val="000000"/>
            <w:sz w:val="20"/>
            <w:szCs w:val="20"/>
            <w:u w:val="none"/>
            <w:rtl/>
          </w:rPr>
          <w:t>הרשות</w:t>
        </w:r>
        <w:r w:rsidRPr="00802D72">
          <w:rPr>
            <w:rStyle w:val="Hyperlink"/>
            <w:b/>
            <w:bCs/>
            <w:color w:val="000000"/>
            <w:sz w:val="20"/>
            <w:szCs w:val="20"/>
            <w:u w:val="none"/>
            <w:rtl/>
          </w:rPr>
          <w:t xml:space="preserve"> </w:t>
        </w:r>
        <w:r w:rsidRPr="00802D72">
          <w:rPr>
            <w:rStyle w:val="Hyperlink"/>
            <w:rFonts w:hint="eastAsia"/>
            <w:b/>
            <w:bCs/>
            <w:color w:val="000000"/>
            <w:sz w:val="20"/>
            <w:szCs w:val="20"/>
            <w:u w:val="none"/>
            <w:rtl/>
          </w:rPr>
          <w:t>להגבלים</w:t>
        </w:r>
        <w:r w:rsidRPr="00802D72">
          <w:rPr>
            <w:rStyle w:val="Hyperlink"/>
            <w:b/>
            <w:bCs/>
            <w:color w:val="000000"/>
            <w:sz w:val="20"/>
            <w:szCs w:val="20"/>
            <w:u w:val="none"/>
            <w:rtl/>
          </w:rPr>
          <w:t xml:space="preserve"> </w:t>
        </w:r>
        <w:r w:rsidRPr="00802D72">
          <w:rPr>
            <w:rStyle w:val="Hyperlink"/>
            <w:rFonts w:hint="eastAsia"/>
            <w:b/>
            <w:bCs/>
            <w:color w:val="000000"/>
            <w:sz w:val="20"/>
            <w:szCs w:val="20"/>
            <w:u w:val="none"/>
            <w:rtl/>
          </w:rPr>
          <w:t>עסקיים</w:t>
        </w:r>
        <w:r w:rsidRPr="00802D72">
          <w:rPr>
            <w:rStyle w:val="Hyperlink"/>
            <w:b/>
            <w:bCs/>
            <w:color w:val="000000"/>
            <w:sz w:val="20"/>
            <w:szCs w:val="20"/>
            <w:u w:val="none"/>
            <w:rtl/>
          </w:rPr>
          <w:t xml:space="preserve"> </w:t>
        </w:r>
        <w:r w:rsidRPr="00802D72">
          <w:rPr>
            <w:rStyle w:val="Hyperlink"/>
            <w:rFonts w:hint="eastAsia"/>
            <w:b/>
            <w:bCs/>
            <w:color w:val="000000"/>
            <w:sz w:val="20"/>
            <w:szCs w:val="20"/>
            <w:u w:val="none"/>
            <w:rtl/>
          </w:rPr>
          <w:t>נ</w:t>
        </w:r>
        <w:r w:rsidRPr="00802D72">
          <w:rPr>
            <w:rStyle w:val="Hyperlink"/>
            <w:b/>
            <w:bCs/>
            <w:color w:val="000000"/>
            <w:sz w:val="20"/>
            <w:szCs w:val="20"/>
            <w:u w:val="none"/>
            <w:rtl/>
          </w:rPr>
          <w:t xml:space="preserve">' </w:t>
        </w:r>
        <w:r w:rsidRPr="00802D72">
          <w:rPr>
            <w:rStyle w:val="Hyperlink"/>
            <w:rFonts w:hint="eastAsia"/>
            <w:b/>
            <w:bCs/>
            <w:color w:val="000000"/>
            <w:sz w:val="20"/>
            <w:szCs w:val="20"/>
            <w:u w:val="none"/>
            <w:rtl/>
          </w:rPr>
          <w:t>נסים</w:t>
        </w:r>
        <w:r w:rsidRPr="00802D72">
          <w:rPr>
            <w:rStyle w:val="Hyperlink"/>
            <w:b/>
            <w:bCs/>
            <w:color w:val="000000"/>
            <w:sz w:val="20"/>
            <w:szCs w:val="20"/>
            <w:u w:val="none"/>
            <w:rtl/>
          </w:rPr>
          <w:t xml:space="preserve"> </w:t>
        </w:r>
        <w:r w:rsidRPr="00802D72">
          <w:rPr>
            <w:rStyle w:val="Hyperlink"/>
            <w:rFonts w:hint="eastAsia"/>
            <w:b/>
            <w:bCs/>
            <w:color w:val="000000"/>
            <w:sz w:val="20"/>
            <w:szCs w:val="20"/>
            <w:u w:val="none"/>
            <w:rtl/>
          </w:rPr>
          <w:t>בובליל</w:t>
        </w:r>
        <w:r w:rsidRPr="00802D72">
          <w:rPr>
            <w:rStyle w:val="Hyperlink"/>
            <w:b/>
            <w:bCs/>
            <w:color w:val="000000"/>
            <w:sz w:val="20"/>
            <w:szCs w:val="20"/>
            <w:u w:val="none"/>
            <w:rtl/>
          </w:rPr>
          <w:t xml:space="preserve"> </w:t>
        </w:r>
        <w:r w:rsidRPr="00802D72">
          <w:rPr>
            <w:rStyle w:val="Hyperlink"/>
            <w:rFonts w:hint="eastAsia"/>
            <w:b/>
            <w:bCs/>
            <w:color w:val="000000"/>
            <w:sz w:val="20"/>
            <w:szCs w:val="20"/>
            <w:u w:val="none"/>
            <w:rtl/>
          </w:rPr>
          <w:t>ואח</w:t>
        </w:r>
        <w:r w:rsidRPr="00802D72">
          <w:rPr>
            <w:rStyle w:val="Hyperlink"/>
            <w:b/>
            <w:bCs/>
            <w:color w:val="000000"/>
            <w:sz w:val="20"/>
            <w:szCs w:val="20"/>
            <w:u w:val="none"/>
            <w:rtl/>
          </w:rPr>
          <w:t>'</w:t>
        </w:r>
        <w:r w:rsidRPr="00802D72">
          <w:rPr>
            <w:rStyle w:val="Hyperlink"/>
            <w:color w:val="000000"/>
            <w:sz w:val="20"/>
            <w:szCs w:val="20"/>
            <w:u w:val="none"/>
            <w:rtl/>
          </w:rPr>
          <w:t xml:space="preserve"> החלטה מיום 7.6.2012, פס' 71 (פורסם בנבו, 07.06.2012)</w:t>
        </w:r>
      </w:hyperlink>
      <w:r w:rsidRPr="00802D72">
        <w:rPr>
          <w:sz w:val="22"/>
          <w:rtl/>
        </w:rPr>
        <w:t xml:space="preserve"> </w:t>
      </w:r>
      <w:r w:rsidRPr="00802D72">
        <w:rPr>
          <w:rStyle w:val="Hyperlink"/>
          <w:color w:val="auto"/>
          <w:sz w:val="20"/>
          <w:szCs w:val="20"/>
          <w:u w:val="none"/>
          <w:rtl/>
        </w:rPr>
        <w:t xml:space="preserve">(להלן: עניין </w:t>
      </w:r>
      <w:r w:rsidRPr="00802D72">
        <w:rPr>
          <w:rStyle w:val="Hyperlink"/>
          <w:rFonts w:hint="eastAsia"/>
          <w:b/>
          <w:bCs/>
          <w:color w:val="auto"/>
          <w:sz w:val="20"/>
          <w:szCs w:val="20"/>
          <w:u w:val="none"/>
          <w:rtl/>
        </w:rPr>
        <w:t>בובליל</w:t>
      </w:r>
      <w:r w:rsidRPr="00802D72">
        <w:rPr>
          <w:rStyle w:val="Hyperlink"/>
          <w:color w:val="auto"/>
          <w:sz w:val="20"/>
          <w:szCs w:val="20"/>
          <w:u w:val="none"/>
          <w:rtl/>
        </w:rPr>
        <w:t>).</w:t>
      </w:r>
      <w:r w:rsidRPr="00802D72">
        <w:rPr>
          <w:sz w:val="22"/>
          <w:rtl/>
        </w:rPr>
        <w:t xml:space="preserve"> </w:t>
      </w:r>
    </w:p>
  </w:footnote>
  <w:footnote w:id="19">
    <w:p w14:paraId="103C48F1" w14:textId="77777777" w:rsidR="00802D72" w:rsidRPr="00802D72" w:rsidRDefault="00802D72" w:rsidP="00706E81">
      <w:pPr>
        <w:pStyle w:val="FootnoteText"/>
        <w:rPr>
          <w:sz w:val="24"/>
        </w:rPr>
      </w:pPr>
      <w:r w:rsidRPr="00802D72">
        <w:rPr>
          <w:rStyle w:val="FootnoteReference"/>
        </w:rPr>
        <w:footnoteRef/>
      </w:r>
      <w:r w:rsidRPr="00802D72">
        <w:rPr>
          <w:rFonts w:hint="cs"/>
          <w:rtl/>
        </w:rPr>
        <w:t xml:space="preserve"> </w:t>
      </w:r>
      <w:r w:rsidRPr="00802D72">
        <w:rPr>
          <w:rFonts w:hint="cs"/>
          <w:b/>
          <w:bCs/>
          <w:rtl/>
        </w:rPr>
        <w:t>עניין בתי החולים הגריאטריים,</w:t>
      </w:r>
      <w:r w:rsidRPr="00802D72">
        <w:rPr>
          <w:rFonts w:hint="cs"/>
          <w:rtl/>
        </w:rPr>
        <w:t xml:space="preserve"> לעיל ה"ש 6; ת"א (ת"א) 1617/93 </w:t>
      </w:r>
      <w:r w:rsidRPr="00802D72">
        <w:rPr>
          <w:rFonts w:hint="cs"/>
          <w:b/>
          <w:bCs/>
          <w:rtl/>
        </w:rPr>
        <w:t>וולקן מצברים נ' איגוד המוסכים בישראל</w:t>
      </w:r>
      <w:r w:rsidRPr="00802D72">
        <w:rPr>
          <w:rFonts w:hint="cs"/>
          <w:rtl/>
        </w:rPr>
        <w:t xml:space="preserve"> דינים מחוזי, לב(6) 642, 646 (1994); החלטה של הממונה על </w:t>
      </w:r>
      <w:r w:rsidR="00706E81">
        <w:rPr>
          <w:rFonts w:hint="cs"/>
          <w:rtl/>
        </w:rPr>
        <w:t>התחרות</w:t>
      </w:r>
      <w:r w:rsidRPr="00802D72">
        <w:rPr>
          <w:rFonts w:hint="cs"/>
          <w:rtl/>
        </w:rPr>
        <w:t xml:space="preserve"> "קביעה בדבר קיום הסדר כובל - פעילות איגוד סוכנות השחקנים" </w:t>
      </w:r>
      <w:r w:rsidR="00706E81">
        <w:rPr>
          <w:rFonts w:hint="cs"/>
          <w:b/>
          <w:bCs/>
          <w:rtl/>
        </w:rPr>
        <w:t>רשות התחרות</w:t>
      </w:r>
      <w:r w:rsidRPr="00802D72">
        <w:rPr>
          <w:rFonts w:hint="cs"/>
          <w:rtl/>
        </w:rPr>
        <w:t xml:space="preserve"> 3003746 (24.5.94).</w:t>
      </w:r>
    </w:p>
  </w:footnote>
  <w:footnote w:id="20">
    <w:p w14:paraId="73C6EC70" w14:textId="77777777" w:rsidR="00802D72" w:rsidRPr="00802D72" w:rsidRDefault="00802D72" w:rsidP="00706E81">
      <w:pPr>
        <w:pStyle w:val="FootnoteText"/>
        <w:rPr>
          <w:rFonts w:asciiTheme="minorHAnsi" w:hAnsiTheme="minorHAnsi"/>
          <w:rtl/>
        </w:rPr>
      </w:pPr>
      <w:r w:rsidRPr="00802D72">
        <w:rPr>
          <w:rStyle w:val="FootnoteReference"/>
        </w:rPr>
        <w:footnoteRef/>
      </w:r>
      <w:r w:rsidRPr="00802D72">
        <w:t xml:space="preserve">  </w:t>
      </w:r>
      <w:r w:rsidRPr="00802D72">
        <w:rPr>
          <w:rtl/>
        </w:rPr>
        <w:t>ר' החלטה בדבר פטור חלקי בתנאים מאישור הסדר כובל להסדר שבין איגוד בתי האבות ומעונות החברים בו</w:t>
      </w:r>
      <w:r w:rsidRPr="00802D72">
        <w:rPr>
          <w:rFonts w:asciiTheme="minorHAnsi" w:hAnsiTheme="minorHAnsi"/>
        </w:rPr>
        <w:t xml:space="preserve"> </w:t>
      </w:r>
      <w:r w:rsidRPr="00802D72">
        <w:rPr>
          <w:rFonts w:asciiTheme="minorHAnsi" w:hAnsiTheme="minorHAnsi" w:hint="cs"/>
          <w:rtl/>
        </w:rPr>
        <w:t xml:space="preserve">(11.10.2005) </w:t>
      </w:r>
      <w:r w:rsidR="00706E81">
        <w:rPr>
          <w:rFonts w:asciiTheme="minorHAnsi" w:hAnsiTheme="minorHAnsi" w:hint="cs"/>
          <w:b/>
          <w:bCs/>
          <w:rtl/>
        </w:rPr>
        <w:t>רשות התחרות</w:t>
      </w:r>
      <w:r w:rsidRPr="00802D72">
        <w:t xml:space="preserve"> 5000143 </w:t>
      </w:r>
      <w:r w:rsidRPr="00802D72">
        <w:rPr>
          <w:rFonts w:hint="cs"/>
          <w:rtl/>
        </w:rPr>
        <w:t xml:space="preserve">(להלן: </w:t>
      </w:r>
      <w:r w:rsidRPr="00802D72">
        <w:rPr>
          <w:rFonts w:hint="cs"/>
          <w:b/>
          <w:bCs/>
          <w:rtl/>
        </w:rPr>
        <w:t>עניין איגוד בתי האבות</w:t>
      </w:r>
      <w:r w:rsidRPr="00802D72">
        <w:rPr>
          <w:rFonts w:hint="cs"/>
          <w:rtl/>
        </w:rPr>
        <w:t>).</w:t>
      </w:r>
    </w:p>
  </w:footnote>
  <w:footnote w:id="21">
    <w:p w14:paraId="316968F1" w14:textId="77777777" w:rsidR="00802D72" w:rsidRPr="00802D72" w:rsidRDefault="00802D72" w:rsidP="0072072E">
      <w:pPr>
        <w:spacing w:after="100" w:afterAutospacing="1"/>
        <w:rPr>
          <w:sz w:val="22"/>
          <w:rtl/>
        </w:rPr>
      </w:pPr>
      <w:r w:rsidRPr="00802D72">
        <w:rPr>
          <w:rStyle w:val="FootnoteReference"/>
        </w:rPr>
        <w:footnoteRef/>
      </w:r>
      <w:r w:rsidRPr="00802D72">
        <w:rPr>
          <w:rFonts w:hint="cs"/>
          <w:sz w:val="22"/>
          <w:rtl/>
        </w:rPr>
        <w:t xml:space="preserve"> </w:t>
      </w:r>
      <w:hyperlink r:id="rId8" w:history="1">
        <w:r w:rsidRPr="00802D72">
          <w:rPr>
            <w:rStyle w:val="Hyperlink"/>
            <w:rFonts w:hint="cs"/>
            <w:color w:val="000000"/>
            <w:sz w:val="20"/>
            <w:szCs w:val="20"/>
            <w:u w:val="none"/>
            <w:rtl/>
          </w:rPr>
          <w:t xml:space="preserve">עניין </w:t>
        </w:r>
        <w:r w:rsidRPr="00802D72">
          <w:rPr>
            <w:rStyle w:val="Hyperlink"/>
            <w:rFonts w:hint="cs"/>
            <w:b/>
            <w:bCs/>
            <w:color w:val="000000"/>
            <w:sz w:val="20"/>
            <w:szCs w:val="20"/>
            <w:u w:val="none"/>
            <w:rtl/>
          </w:rPr>
          <w:t>בובליל</w:t>
        </w:r>
        <w:r w:rsidRPr="00802D72">
          <w:rPr>
            <w:rStyle w:val="Hyperlink"/>
            <w:rFonts w:hint="cs"/>
            <w:color w:val="000000"/>
            <w:sz w:val="20"/>
            <w:szCs w:val="20"/>
            <w:u w:val="none"/>
            <w:rtl/>
          </w:rPr>
          <w:t xml:space="preserve">, לעיל ה"ש </w:t>
        </w:r>
        <w:r w:rsidR="0072072E">
          <w:rPr>
            <w:rStyle w:val="Hyperlink"/>
            <w:rFonts w:hint="cs"/>
            <w:color w:val="000000"/>
            <w:sz w:val="20"/>
            <w:szCs w:val="20"/>
            <w:u w:val="none"/>
            <w:rtl/>
          </w:rPr>
          <w:t>18</w:t>
        </w:r>
        <w:r w:rsidRPr="00802D72">
          <w:rPr>
            <w:rStyle w:val="Hyperlink"/>
            <w:rFonts w:hint="cs"/>
            <w:color w:val="000000"/>
            <w:sz w:val="20"/>
            <w:szCs w:val="20"/>
            <w:u w:val="none"/>
            <w:rtl/>
          </w:rPr>
          <w:t>, פס' 71</w:t>
        </w:r>
      </w:hyperlink>
      <w:r w:rsidRPr="00802D72">
        <w:rPr>
          <w:rFonts w:hint="cs"/>
          <w:sz w:val="22"/>
          <w:rtl/>
        </w:rPr>
        <w:t xml:space="preserve">. </w:t>
      </w:r>
    </w:p>
  </w:footnote>
  <w:footnote w:id="22">
    <w:p w14:paraId="33EBC0E4" w14:textId="77777777" w:rsidR="00802D72" w:rsidRPr="00802D72" w:rsidRDefault="00802D72" w:rsidP="00706E81">
      <w:pPr>
        <w:pStyle w:val="FootnoteText"/>
        <w:rPr>
          <w:color w:val="FF0000"/>
          <w:sz w:val="24"/>
          <w:rtl/>
        </w:rPr>
      </w:pPr>
      <w:r w:rsidRPr="00802D72">
        <w:rPr>
          <w:rStyle w:val="FootnoteReference"/>
        </w:rPr>
        <w:footnoteRef/>
      </w:r>
      <w:r w:rsidRPr="00802D72">
        <w:rPr>
          <w:rFonts w:hint="cs"/>
          <w:rtl/>
        </w:rPr>
        <w:t xml:space="preserve"> להרחבה ופירוט ראו גילוי דעת 2/14 "חשיפת מידע טרם עסקה בין מתחרים", </w:t>
      </w:r>
      <w:r w:rsidR="00706E81">
        <w:rPr>
          <w:rFonts w:hint="cs"/>
          <w:b/>
          <w:bCs/>
          <w:rtl/>
        </w:rPr>
        <w:t>רשות התחרות</w:t>
      </w:r>
      <w:r w:rsidRPr="00802D72">
        <w:rPr>
          <w:rFonts w:hint="cs"/>
          <w:rtl/>
        </w:rPr>
        <w:t xml:space="preserve"> 500618</w:t>
      </w:r>
      <w:r w:rsidRPr="00802D72">
        <w:rPr>
          <w:rFonts w:hint="cs"/>
          <w:color w:val="FF0000"/>
          <w:rtl/>
        </w:rPr>
        <w:t xml:space="preserve"> </w:t>
      </w:r>
      <w:r w:rsidRPr="00802D72">
        <w:rPr>
          <w:rFonts w:hint="cs"/>
          <w:rtl/>
        </w:rPr>
        <w:t xml:space="preserve">(19.5.2014) (להלן: גילוי דעת </w:t>
      </w:r>
      <w:r w:rsidRPr="00802D72">
        <w:rPr>
          <w:rFonts w:hint="cs"/>
          <w:b/>
          <w:bCs/>
          <w:rtl/>
        </w:rPr>
        <w:t>חשיפת מידע טרם עסקה בין מתחרים</w:t>
      </w:r>
      <w:r w:rsidRPr="00802D72">
        <w:rPr>
          <w:rFonts w:hint="cs"/>
          <w:rtl/>
        </w:rPr>
        <w:t>).</w:t>
      </w:r>
    </w:p>
  </w:footnote>
  <w:footnote w:id="23">
    <w:p w14:paraId="7653AE69" w14:textId="77777777" w:rsidR="00802D72" w:rsidRPr="00802D72" w:rsidRDefault="00802D72" w:rsidP="00802D72">
      <w:pPr>
        <w:pStyle w:val="FootnoteText"/>
        <w:rPr>
          <w:rtl/>
        </w:rPr>
      </w:pPr>
      <w:r w:rsidRPr="00802D72">
        <w:rPr>
          <w:rStyle w:val="FootnoteReference"/>
        </w:rPr>
        <w:footnoteRef/>
      </w:r>
      <w:r w:rsidRPr="00802D72">
        <w:rPr>
          <w:rFonts w:hint="cs"/>
          <w:rtl/>
        </w:rPr>
        <w:t xml:space="preserve"> מובן, כי אחריות האיגוד העסקי וממלאי תפקיד המנהלים ישיבה או פורום אחר, אינה מחליפה את אחריותו האישית של כל משתתף להתבטאויותיו או לפעולה חד צדדית מטעמו במסגרת הפורום.</w:t>
      </w:r>
    </w:p>
  </w:footnote>
  <w:footnote w:id="24">
    <w:p w14:paraId="0356EC35" w14:textId="77777777" w:rsidR="00802D72" w:rsidRPr="00802D72" w:rsidRDefault="00802D72" w:rsidP="00802D72">
      <w:pPr>
        <w:pStyle w:val="FootnoteText"/>
        <w:rPr>
          <w:rtl/>
        </w:rPr>
      </w:pPr>
      <w:r w:rsidRPr="00802D72">
        <w:rPr>
          <w:rStyle w:val="FootnoteReference"/>
        </w:rPr>
        <w:footnoteRef/>
      </w:r>
      <w:r w:rsidRPr="00802D72">
        <w:rPr>
          <w:rFonts w:hint="cs"/>
          <w:rtl/>
        </w:rPr>
        <w:t xml:space="preserve"> למותר לציין, כי אין איסור על קיום דיון פומבי בעניינים המעסיקים את חברי האיגוד, אף אם עשויה להיות להם נגיעה לתחרות בענף וזאת כל עוד הדיון אינו ממוקד בסוגיות רגישות מבחינה תחרותית או שסוגיות כאלה צפויות לעלות לפני השטח במהלך הדיון. האיגוד העסקי וממלאי תפקיד בו לא ייראו אחראים להתבטאות או פעולה חד צדדית של מי מהנוכחים בפורום כאמור, אולם אם הדיון זולג לעבר סוגיות רגישות מבחינה תחרותית עליהם לפעול באופן סביר למנוע את המשכו במתכונת זו. </w:t>
      </w:r>
    </w:p>
  </w:footnote>
  <w:footnote w:id="25">
    <w:p w14:paraId="38B05CAF" w14:textId="77777777" w:rsidR="00802D72" w:rsidRPr="00802D72" w:rsidRDefault="00802D72" w:rsidP="00802D72">
      <w:pPr>
        <w:pStyle w:val="FootnoteText"/>
        <w:rPr>
          <w:rtl/>
        </w:rPr>
      </w:pPr>
      <w:r w:rsidRPr="00802D72">
        <w:rPr>
          <w:rStyle w:val="FootnoteReference"/>
        </w:rPr>
        <w:footnoteRef/>
      </w:r>
      <w:r w:rsidRPr="00802D72">
        <w:rPr>
          <w:rFonts w:hint="cs"/>
          <w:rtl/>
        </w:rPr>
        <w:t xml:space="preserve"> עניין </w:t>
      </w:r>
      <w:r w:rsidRPr="00802D72">
        <w:rPr>
          <w:rFonts w:hint="cs"/>
          <w:b/>
          <w:bCs/>
          <w:rtl/>
        </w:rPr>
        <w:t>שוהם</w:t>
      </w:r>
      <w:r w:rsidRPr="00802D72">
        <w:rPr>
          <w:rFonts w:hint="cs"/>
          <w:rtl/>
        </w:rPr>
        <w:t>, לעיל ה"ש 14, פס' 26.</w:t>
      </w:r>
    </w:p>
  </w:footnote>
  <w:footnote w:id="26">
    <w:p w14:paraId="60E07E96" w14:textId="77777777" w:rsidR="0004545A" w:rsidRDefault="0004545A" w:rsidP="0004545A">
      <w:pPr>
        <w:pStyle w:val="FootnoteText"/>
        <w:rPr>
          <w:rFonts w:cs="Times New Roman"/>
          <w:rtl/>
        </w:rPr>
      </w:pPr>
      <w:r>
        <w:rPr>
          <w:rStyle w:val="FootnoteReference"/>
          <w:rFonts w:eastAsiaTheme="majorEastAsia"/>
        </w:rPr>
        <w:footnoteRef/>
      </w:r>
      <w:r>
        <w:rPr>
          <w:rFonts w:hint="cs"/>
          <w:rtl/>
        </w:rPr>
        <w:t xml:space="preserve"> החלטה של הממונה על הגבלים עסקיים "החלטה לפי סעיף 14 לחוק ההגבלים העסקיים, התשמ"ח-1988: מתן פטור מאישור הסדר כובל להסדר בין חברי הוועדה הישראלית למדרוג"  </w:t>
      </w:r>
      <w:r>
        <w:rPr>
          <w:rFonts w:hint="cs"/>
          <w:b/>
          <w:bCs/>
          <w:rtl/>
        </w:rPr>
        <w:t xml:space="preserve">הגבלים עסקיים </w:t>
      </w:r>
      <w:r>
        <w:rPr>
          <w:rFonts w:hint="cs"/>
          <w:rtl/>
        </w:rPr>
        <w:t xml:space="preserve">5000600 (17.4.2007); החלטה של הממונה על הגבלים עסקיים "החלטה לפי סעיף 14 לחוק ההגבלים העסקיים, התשמ"ח-1988 בדבר מתן פטור בתנאים מאישור הסדר כובל להסדר בין חברי הוועדה הישראלית למדרוג" </w:t>
      </w:r>
      <w:r>
        <w:rPr>
          <w:rFonts w:hint="cs"/>
          <w:b/>
          <w:bCs/>
          <w:rtl/>
        </w:rPr>
        <w:t xml:space="preserve">הגבלים עסקיים </w:t>
      </w:r>
      <w:r>
        <w:rPr>
          <w:rFonts w:hint="cs"/>
          <w:rtl/>
        </w:rPr>
        <w:t>500375 (11.4.2013).</w:t>
      </w:r>
    </w:p>
  </w:footnote>
  <w:footnote w:id="27">
    <w:p w14:paraId="1F65389B" w14:textId="77777777" w:rsidR="0004545A" w:rsidRDefault="0004545A" w:rsidP="0004545A">
      <w:pPr>
        <w:pStyle w:val="FootnoteText"/>
        <w:rPr>
          <w:b/>
          <w:bCs/>
          <w:rtl/>
        </w:rPr>
      </w:pPr>
      <w:r>
        <w:rPr>
          <w:rStyle w:val="FootnoteReference"/>
          <w:rFonts w:eastAsiaTheme="majorEastAsia"/>
        </w:rPr>
        <w:footnoteRef/>
      </w:r>
      <w:r>
        <w:rPr>
          <w:rFonts w:hint="cs"/>
          <w:rtl/>
        </w:rPr>
        <w:t xml:space="preserve"> גילוי דעת </w:t>
      </w:r>
      <w:r>
        <w:rPr>
          <w:rFonts w:hint="cs"/>
          <w:b/>
          <w:bCs/>
          <w:rtl/>
        </w:rPr>
        <w:t>חשיפת מידע טרם עסקה בין מתחרים</w:t>
      </w:r>
      <w:r>
        <w:rPr>
          <w:rFonts w:hint="cs"/>
          <w:rtl/>
        </w:rPr>
        <w:t>, לעיל ה"ש 19.</w:t>
      </w:r>
    </w:p>
  </w:footnote>
  <w:footnote w:id="28">
    <w:p w14:paraId="76311670" w14:textId="77777777" w:rsidR="00802D72" w:rsidRPr="00802D72" w:rsidRDefault="00802D72" w:rsidP="00802D72">
      <w:pPr>
        <w:pStyle w:val="FootnoteText"/>
        <w:rPr>
          <w:rFonts w:asciiTheme="majorBidi" w:hAnsiTheme="majorBidi"/>
          <w:rtl/>
        </w:rPr>
      </w:pPr>
      <w:r w:rsidRPr="00802D72">
        <w:rPr>
          <w:rStyle w:val="FootnoteReference"/>
          <w:rFonts w:asciiTheme="majorBidi" w:hAnsiTheme="majorBidi"/>
        </w:rPr>
        <w:footnoteRef/>
      </w:r>
      <w:r w:rsidRPr="00802D72">
        <w:rPr>
          <w:rFonts w:asciiTheme="majorBidi" w:hAnsiTheme="majorBidi" w:hint="cs"/>
          <w:rtl/>
        </w:rPr>
        <w:t xml:space="preserve"> </w:t>
      </w:r>
      <w:r w:rsidRPr="00802D72">
        <w:rPr>
          <w:rFonts w:hint="cs"/>
          <w:b/>
          <w:bCs/>
          <w:rtl/>
        </w:rPr>
        <w:t>עניין בתי החולים הגריאטריים,</w:t>
      </w:r>
      <w:r w:rsidRPr="00802D72">
        <w:rPr>
          <w:rFonts w:hint="cs"/>
          <w:rtl/>
        </w:rPr>
        <w:t xml:space="preserve"> לעיל ה"ש 6</w:t>
      </w:r>
      <w:r w:rsidRPr="00802D72">
        <w:rPr>
          <w:rFonts w:asciiTheme="majorBidi" w:hAnsiTheme="majorBidi" w:hint="cs"/>
          <w:rtl/>
        </w:rPr>
        <w:t xml:space="preserve">, פס' 61 ואילך; </w:t>
      </w:r>
      <w:r w:rsidRPr="00802D72">
        <w:rPr>
          <w:rFonts w:asciiTheme="majorBidi" w:hAnsiTheme="majorBidi"/>
          <w:b/>
          <w:bCs/>
        </w:rPr>
        <w:t>Roundtable</w:t>
      </w:r>
      <w:r w:rsidRPr="00802D72">
        <w:rPr>
          <w:rFonts w:asciiTheme="majorBidi" w:hAnsiTheme="majorBidi" w:hint="cs"/>
          <w:b/>
          <w:bCs/>
          <w:rtl/>
        </w:rPr>
        <w:t xml:space="preserve"> </w:t>
      </w:r>
      <w:r w:rsidRPr="00802D72">
        <w:rPr>
          <w:rFonts w:asciiTheme="majorBidi" w:hAnsiTheme="majorBidi"/>
        </w:rPr>
        <w:t>OECD</w:t>
      </w:r>
      <w:r w:rsidRPr="00802D72">
        <w:rPr>
          <w:rFonts w:asciiTheme="majorBidi" w:eastAsiaTheme="minorHAnsi" w:hAnsiTheme="majorBidi" w:hint="cs"/>
          <w:rtl/>
        </w:rPr>
        <w:t xml:space="preserve">, לעיל ה"ש 1, </w:t>
      </w:r>
      <w:r w:rsidRPr="00802D72">
        <w:rPr>
          <w:rFonts w:asciiTheme="majorBidi" w:hAnsiTheme="majorBidi" w:hint="cs"/>
          <w:rtl/>
        </w:rPr>
        <w:t>עמ' 250-251.</w:t>
      </w:r>
    </w:p>
  </w:footnote>
  <w:footnote w:id="29">
    <w:p w14:paraId="5436B92D" w14:textId="77777777" w:rsidR="00802D72" w:rsidRPr="00802D72" w:rsidRDefault="00802D72" w:rsidP="00802D72">
      <w:pPr>
        <w:pStyle w:val="FootnoteText"/>
        <w:rPr>
          <w:rFonts w:ascii="Times New Roman" w:hAnsi="Times New Roman"/>
          <w:b/>
          <w:bCs/>
        </w:rPr>
      </w:pPr>
      <w:r w:rsidRPr="00802D72">
        <w:rPr>
          <w:rStyle w:val="FootnoteReference"/>
        </w:rPr>
        <w:footnoteRef/>
      </w:r>
      <w:r w:rsidRPr="00802D72">
        <w:rPr>
          <w:rFonts w:hint="cs"/>
          <w:rtl/>
        </w:rPr>
        <w:t xml:space="preserve"> </w:t>
      </w:r>
      <w:hyperlink r:id="rId9" w:history="1">
        <w:r w:rsidRPr="00802D72">
          <w:rPr>
            <w:rStyle w:val="Hyperlink"/>
            <w:rFonts w:hint="cs"/>
            <w:color w:val="000000"/>
            <w:u w:val="none"/>
            <w:rtl/>
          </w:rPr>
          <w:t xml:space="preserve"> עניין</w:t>
        </w:r>
        <w:r w:rsidRPr="00802D72">
          <w:rPr>
            <w:rStyle w:val="Hyperlink"/>
            <w:rFonts w:hint="cs"/>
            <w:b/>
            <w:bCs/>
            <w:color w:val="000000"/>
            <w:u w:val="none"/>
            <w:rtl/>
          </w:rPr>
          <w:t xml:space="preserve"> התאחדות בעלי האולמות</w:t>
        </w:r>
        <w:r w:rsidRPr="00802D72">
          <w:rPr>
            <w:rStyle w:val="Hyperlink"/>
            <w:rFonts w:hint="cs"/>
            <w:color w:val="000000"/>
            <w:u w:val="none"/>
            <w:rtl/>
          </w:rPr>
          <w:t>, לעיל ה"ש 13</w:t>
        </w:r>
        <w:r w:rsidRPr="00802D72">
          <w:rPr>
            <w:rStyle w:val="Hyperlink"/>
            <w:rFonts w:hint="cs"/>
            <w:b/>
            <w:bCs/>
            <w:color w:val="000000"/>
            <w:u w:val="none"/>
            <w:rtl/>
          </w:rPr>
          <w:t xml:space="preserve">, </w:t>
        </w:r>
        <w:r w:rsidRPr="00802D72">
          <w:rPr>
            <w:rStyle w:val="Hyperlink"/>
            <w:rFonts w:hint="cs"/>
            <w:color w:val="000000"/>
            <w:u w:val="none"/>
            <w:rtl/>
          </w:rPr>
          <w:t>פס' 15</w:t>
        </w:r>
      </w:hyperlink>
      <w:r w:rsidRPr="00802D72">
        <w:rPr>
          <w:rFonts w:hint="cs"/>
          <w:b/>
          <w:bCs/>
          <w:rtl/>
        </w:rPr>
        <w:t>.</w:t>
      </w:r>
    </w:p>
  </w:footnote>
  <w:footnote w:id="30">
    <w:p w14:paraId="526AE22A" w14:textId="77777777" w:rsidR="00802D72" w:rsidRPr="00802D72" w:rsidRDefault="00802D72" w:rsidP="00C47E5C">
      <w:pPr>
        <w:pStyle w:val="FootnoteText"/>
        <w:rPr>
          <w:rtl/>
        </w:rPr>
      </w:pPr>
      <w:r w:rsidRPr="00802D72">
        <w:rPr>
          <w:rStyle w:val="FootnoteReference"/>
        </w:rPr>
        <w:footnoteRef/>
      </w:r>
      <w:r w:rsidRPr="00802D72">
        <w:rPr>
          <w:rFonts w:hint="cs"/>
          <w:rtl/>
        </w:rPr>
        <w:t xml:space="preserve"> ור' </w:t>
      </w:r>
      <w:r w:rsidRPr="00802D72">
        <w:rPr>
          <w:rFonts w:hint="cs"/>
          <w:b/>
          <w:bCs/>
          <w:rtl/>
        </w:rPr>
        <w:t>עניין איגוד בתי האבות</w:t>
      </w:r>
      <w:r w:rsidRPr="00802D72">
        <w:rPr>
          <w:rFonts w:hint="cs"/>
          <w:rtl/>
        </w:rPr>
        <w:t xml:space="preserve">, לעיל ה"ש </w:t>
      </w:r>
      <w:r w:rsidR="00C47E5C">
        <w:rPr>
          <w:rFonts w:hint="cs"/>
          <w:rtl/>
        </w:rPr>
        <w:t>20</w:t>
      </w:r>
      <w:r w:rsidRPr="00802D72">
        <w:rPr>
          <w:rFonts w:hint="cs"/>
          <w:rtl/>
        </w:rPr>
        <w:t xml:space="preserve">. </w:t>
      </w:r>
    </w:p>
  </w:footnote>
  <w:footnote w:id="31">
    <w:p w14:paraId="697357E5" w14:textId="77777777" w:rsidR="00802D72" w:rsidRPr="00802D72" w:rsidRDefault="00802D72" w:rsidP="00706E81">
      <w:pPr>
        <w:pStyle w:val="FootnoteText"/>
        <w:rPr>
          <w:rtl/>
        </w:rPr>
      </w:pPr>
      <w:r w:rsidRPr="00802D72">
        <w:rPr>
          <w:rStyle w:val="FootnoteReference"/>
        </w:rPr>
        <w:footnoteRef/>
      </w:r>
      <w:r w:rsidRPr="00802D72">
        <w:rPr>
          <w:rFonts w:hint="cs"/>
          <w:rtl/>
        </w:rPr>
        <w:t xml:space="preserve"> גילוי דעת 1/00 </w:t>
      </w:r>
      <w:r w:rsidRPr="00802D72">
        <w:rPr>
          <w:rFonts w:hint="cs"/>
          <w:b/>
          <w:bCs/>
          <w:rtl/>
        </w:rPr>
        <w:t>"</w:t>
      </w:r>
      <w:r w:rsidRPr="00802D72">
        <w:rPr>
          <w:rFonts w:hint="cs"/>
          <w:rtl/>
        </w:rPr>
        <w:t>גילוי דעת מאת הממונה על ההגבלים העסקיים: שיתופי פעולה בין מתחרים בפעולה מול רשויות שלטון"</w:t>
      </w:r>
      <w:r w:rsidRPr="00802D72">
        <w:rPr>
          <w:rFonts w:hint="cs"/>
          <w:b/>
          <w:bCs/>
          <w:rtl/>
        </w:rPr>
        <w:t xml:space="preserve"> </w:t>
      </w:r>
      <w:r w:rsidR="00706E81">
        <w:rPr>
          <w:rFonts w:hint="cs"/>
          <w:b/>
          <w:bCs/>
          <w:rtl/>
        </w:rPr>
        <w:t>רשות התחרות</w:t>
      </w:r>
      <w:r w:rsidRPr="00802D72">
        <w:rPr>
          <w:rFonts w:hint="cs"/>
          <w:rtl/>
        </w:rPr>
        <w:t xml:space="preserve"> 3007119 פס' 3 (6.2.2000). </w:t>
      </w:r>
    </w:p>
  </w:footnote>
  <w:footnote w:id="32">
    <w:p w14:paraId="08FFE8F3" w14:textId="77777777" w:rsidR="00802D72" w:rsidRPr="00802D72" w:rsidRDefault="00802D72" w:rsidP="00802D72">
      <w:pPr>
        <w:pStyle w:val="FootnoteText"/>
        <w:rPr>
          <w:b/>
          <w:bCs/>
          <w:color w:val="FF0000"/>
          <w:rtl/>
        </w:rPr>
      </w:pPr>
      <w:r w:rsidRPr="00802D72">
        <w:rPr>
          <w:rStyle w:val="FootnoteReference"/>
        </w:rPr>
        <w:footnoteRef/>
      </w:r>
      <w:r w:rsidRPr="00802D72">
        <w:rPr>
          <w:rFonts w:hint="cs"/>
          <w:rtl/>
        </w:rPr>
        <w:t xml:space="preserve"> שם.</w:t>
      </w:r>
      <w:r w:rsidRPr="00802D72">
        <w:rPr>
          <w:rFonts w:hint="cs"/>
          <w:b/>
          <w:bCs/>
          <w:rtl/>
        </w:rPr>
        <w:t xml:space="preserve">  </w:t>
      </w:r>
    </w:p>
  </w:footnote>
  <w:footnote w:id="33">
    <w:p w14:paraId="5C987650" w14:textId="77777777" w:rsidR="00802D72" w:rsidRPr="00802D72" w:rsidRDefault="00802D72" w:rsidP="00802D72">
      <w:pPr>
        <w:pStyle w:val="FootnoteText"/>
        <w:bidi w:val="0"/>
        <w:rPr>
          <w:color w:val="333333"/>
          <w:shd w:val="clear" w:color="auto" w:fill="FFFFFF"/>
          <w:rtl/>
        </w:rPr>
      </w:pPr>
      <w:r w:rsidRPr="00802D72">
        <w:rPr>
          <w:rStyle w:val="FootnoteReference"/>
        </w:rPr>
        <w:footnoteRef/>
      </w:r>
      <w:r w:rsidRPr="00802D72">
        <w:rPr>
          <w:color w:val="333333"/>
          <w:shd w:val="clear" w:color="auto" w:fill="FFFFFF"/>
        </w:rPr>
        <w:t>.</w:t>
      </w:r>
      <w:r w:rsidRPr="00802D72">
        <w:rPr>
          <w:rFonts w:asciiTheme="majorBidi" w:hAnsiTheme="majorBidi"/>
          <w:smallCaps/>
          <w:sz w:val="22"/>
        </w:rPr>
        <w:t>Bellamy &amp; Child</w:t>
      </w:r>
      <w:r w:rsidRPr="00802D72">
        <w:rPr>
          <w:color w:val="333333"/>
          <w:shd w:val="clear" w:color="auto" w:fill="FFFFFF"/>
        </w:rPr>
        <w:t xml:space="preserve"> , </w:t>
      </w:r>
      <w:r w:rsidRPr="00802D72">
        <w:rPr>
          <w:rFonts w:asciiTheme="majorBidi" w:hAnsiTheme="majorBidi"/>
          <w:smallCaps/>
          <w:sz w:val="22"/>
        </w:rPr>
        <w:t>European Union Law of Competition</w:t>
      </w:r>
      <w:r w:rsidRPr="00802D72">
        <w:rPr>
          <w:color w:val="333333"/>
          <w:shd w:val="clear" w:color="auto" w:fill="FFFFFF"/>
        </w:rPr>
        <w:t> 386 </w:t>
      </w:r>
      <w:r w:rsidRPr="00802D72">
        <w:rPr>
          <w:rFonts w:ascii="Arial" w:hAnsi="Arial"/>
          <w:color w:val="333333"/>
          <w:shd w:val="clear" w:color="auto" w:fill="FFFFFF"/>
        </w:rPr>
        <w:t>(</w:t>
      </w:r>
      <w:r w:rsidRPr="00802D72">
        <w:rPr>
          <w:color w:val="333333"/>
          <w:shd w:val="clear" w:color="auto" w:fill="FFFFFF"/>
        </w:rPr>
        <w:t>7</w:t>
      </w:r>
      <w:r w:rsidRPr="00802D72">
        <w:rPr>
          <w:color w:val="333333"/>
          <w:shd w:val="clear" w:color="auto" w:fill="FFFFFF"/>
          <w:vertAlign w:val="superscript"/>
        </w:rPr>
        <w:t>th</w:t>
      </w:r>
      <w:r w:rsidRPr="00802D72">
        <w:rPr>
          <w:color w:val="333333"/>
          <w:shd w:val="clear" w:color="auto" w:fill="FFFFFF"/>
        </w:rPr>
        <w:t> ed. 2013)</w:t>
      </w:r>
      <w:r w:rsidRPr="00802D72">
        <w:t xml:space="preserve">; </w:t>
      </w:r>
      <w:r w:rsidRPr="00802D72">
        <w:rPr>
          <w:rFonts w:asciiTheme="majorBidi" w:hAnsiTheme="majorBidi"/>
          <w:smallCaps/>
          <w:sz w:val="22"/>
        </w:rPr>
        <w:t>American Bar Association</w:t>
      </w:r>
      <w:r w:rsidRPr="00802D72">
        <w:rPr>
          <w:color w:val="333333"/>
          <w:shd w:val="clear" w:color="auto" w:fill="FFFFFF"/>
        </w:rPr>
        <w:t xml:space="preserve"> (ABA), </w:t>
      </w:r>
      <w:r w:rsidRPr="00802D72">
        <w:rPr>
          <w:rFonts w:asciiTheme="majorBidi" w:hAnsiTheme="majorBidi"/>
          <w:smallCaps/>
          <w:sz w:val="22"/>
        </w:rPr>
        <w:t>Section</w:t>
      </w:r>
      <w:r w:rsidRPr="00802D72">
        <w:rPr>
          <w:color w:val="333333"/>
          <w:shd w:val="clear" w:color="auto" w:fill="FFFFFF"/>
        </w:rPr>
        <w:t xml:space="preserve"> </w:t>
      </w:r>
      <w:r w:rsidRPr="00802D72">
        <w:rPr>
          <w:rFonts w:asciiTheme="majorBidi" w:hAnsiTheme="majorBidi"/>
          <w:smallCaps/>
          <w:sz w:val="22"/>
        </w:rPr>
        <w:t>of Antitrust ,Antitrust and</w:t>
      </w:r>
      <w:r w:rsidRPr="00802D72">
        <w:rPr>
          <w:color w:val="333333"/>
          <w:shd w:val="clear" w:color="auto" w:fill="FFFFFF"/>
        </w:rPr>
        <w:t xml:space="preserve"> </w:t>
      </w:r>
      <w:r w:rsidRPr="00802D72">
        <w:rPr>
          <w:rFonts w:asciiTheme="majorBidi" w:hAnsiTheme="majorBidi"/>
          <w:smallCaps/>
          <w:sz w:val="22"/>
        </w:rPr>
        <w:t>Associations Handbook</w:t>
      </w:r>
      <w:r w:rsidRPr="00802D72">
        <w:rPr>
          <w:color w:val="333333"/>
          <w:shd w:val="clear" w:color="auto" w:fill="FFFFFF"/>
        </w:rPr>
        <w:t xml:space="preserve">  63 </w:t>
      </w:r>
      <w:r w:rsidRPr="00802D72">
        <w:rPr>
          <w:rFonts w:ascii="Arial" w:hAnsi="Arial"/>
          <w:color w:val="333333"/>
          <w:shd w:val="clear" w:color="auto" w:fill="FFFFFF"/>
        </w:rPr>
        <w:t>(</w:t>
      </w:r>
      <w:r w:rsidRPr="00802D72">
        <w:rPr>
          <w:color w:val="333333"/>
          <w:shd w:val="clear" w:color="auto" w:fill="FFFFFF"/>
        </w:rPr>
        <w:t>2009)</w:t>
      </w:r>
      <w:r w:rsidRPr="00802D72">
        <w:t xml:space="preserve">.  </w:t>
      </w:r>
    </w:p>
  </w:footnote>
  <w:footnote w:id="34">
    <w:p w14:paraId="5FFFB234" w14:textId="77777777" w:rsidR="00802D72" w:rsidRPr="00802D72" w:rsidRDefault="00802D72" w:rsidP="00802D72">
      <w:pPr>
        <w:pStyle w:val="FootnoteText"/>
        <w:rPr>
          <w:color w:val="FF0000"/>
          <w:rtl/>
        </w:rPr>
      </w:pPr>
      <w:r w:rsidRPr="00802D72">
        <w:rPr>
          <w:rStyle w:val="FootnoteReference"/>
        </w:rPr>
        <w:footnoteRef/>
      </w:r>
      <w:r w:rsidRPr="00802D72">
        <w:rPr>
          <w:rFonts w:hint="cs"/>
          <w:rtl/>
        </w:rPr>
        <w:t xml:space="preserve"> ר' למשל, ניתוח הקשר בין קביעת תקן המגן על יצרני המרצפות לבין קיומו של קרטל בתחם המרצפות</w:t>
      </w:r>
      <w:r w:rsidRPr="00802D72">
        <w:rPr>
          <w:rStyle w:val="Emphasis"/>
          <w:rFonts w:hint="cs"/>
          <w:shd w:val="clear" w:color="auto" w:fill="FFFFFF"/>
          <w:rtl/>
        </w:rPr>
        <w:t xml:space="preserve"> אצל ע' כהן</w:t>
      </w:r>
      <w:r w:rsidRPr="00802D72">
        <w:rPr>
          <w:rFonts w:ascii="Arial" w:hAnsi="Arial" w:hint="cs"/>
          <w:shd w:val="clear" w:color="auto" w:fill="FFFFFF"/>
          <w:rtl/>
        </w:rPr>
        <w:t xml:space="preserve"> "</w:t>
      </w:r>
      <w:r w:rsidRPr="00802D72">
        <w:rPr>
          <w:rStyle w:val="Emphasis"/>
          <w:rFonts w:hint="cs"/>
          <w:shd w:val="clear" w:color="auto" w:fill="FFFFFF"/>
          <w:rtl/>
        </w:rPr>
        <w:t>הבחירה הציבורית ופרשנות תכליתית"</w:t>
      </w:r>
      <w:r w:rsidRPr="00802D72">
        <w:rPr>
          <w:rFonts w:ascii="Arial" w:hAnsi="Arial"/>
          <w:shd w:val="clear" w:color="auto" w:fill="FFFFFF"/>
        </w:rPr>
        <w:t xml:space="preserve"> </w:t>
      </w:r>
      <w:r w:rsidRPr="00802D72">
        <w:rPr>
          <w:rFonts w:ascii="Arial" w:hAnsi="Arial" w:hint="cs"/>
          <w:b/>
          <w:bCs/>
          <w:shd w:val="clear" w:color="auto" w:fill="FFFFFF"/>
          <w:rtl/>
        </w:rPr>
        <w:t>משפט וממשל</w:t>
      </w:r>
      <w:r w:rsidRPr="00802D72">
        <w:rPr>
          <w:rFonts w:ascii="Arial" w:hAnsi="Arial" w:hint="cs"/>
          <w:shd w:val="clear" w:color="auto" w:fill="FFFFFF"/>
          <w:rtl/>
        </w:rPr>
        <w:t xml:space="preserve"> יא(1), 317, 334 (2007)</w:t>
      </w:r>
      <w:r w:rsidRPr="00802D72">
        <w:rPr>
          <w:rFonts w:ascii="Arial" w:hAnsi="Arial"/>
          <w:shd w:val="clear" w:color="auto" w:fill="FFFFFF"/>
        </w:rPr>
        <w:t>.</w:t>
      </w:r>
    </w:p>
  </w:footnote>
  <w:footnote w:id="35">
    <w:p w14:paraId="6F64583E" w14:textId="77777777" w:rsidR="00802D72" w:rsidRPr="00802D72" w:rsidRDefault="00802D72" w:rsidP="00706E81">
      <w:pPr>
        <w:pStyle w:val="FootnoteText"/>
        <w:rPr>
          <w:color w:val="FF0000"/>
          <w:rtl/>
        </w:rPr>
      </w:pPr>
      <w:r w:rsidRPr="00802D72">
        <w:rPr>
          <w:rStyle w:val="FootnoteReference"/>
        </w:rPr>
        <w:footnoteRef/>
      </w:r>
      <w:r w:rsidRPr="00802D72">
        <w:rPr>
          <w:rFonts w:hint="cs"/>
          <w:rtl/>
        </w:rPr>
        <w:t xml:space="preserve"> ר' החלטה של הממונה על </w:t>
      </w:r>
      <w:r w:rsidR="00706E81">
        <w:rPr>
          <w:rFonts w:hint="cs"/>
          <w:rtl/>
        </w:rPr>
        <w:t>התחרות</w:t>
      </w:r>
      <w:r w:rsidRPr="00802D72">
        <w:rPr>
          <w:rFonts w:hint="cs"/>
          <w:rtl/>
        </w:rPr>
        <w:t xml:space="preserve"> "החלטה לפי סעיף 14 לחוק ההגבלים העסקיים, התשמ"ח-1988 בדבר מתן פטור מאישור הסדר כובל הסדר בין קמע לייצוג הקמעונאים בישראל בע"מ לבין קמעונאים החברים בה" </w:t>
      </w:r>
      <w:r w:rsidR="00706E81">
        <w:rPr>
          <w:rFonts w:hint="cs"/>
          <w:b/>
          <w:bCs/>
          <w:rtl/>
        </w:rPr>
        <w:t>רשות התחרות</w:t>
      </w:r>
      <w:r w:rsidRPr="00802D72">
        <w:rPr>
          <w:rFonts w:hint="cs"/>
          <w:rtl/>
        </w:rPr>
        <w:t xml:space="preserve"> 5000131 (18.2.2008); </w:t>
      </w:r>
      <w:r w:rsidRPr="00802D72">
        <w:rPr>
          <w:rFonts w:hint="cs"/>
          <w:b/>
          <w:bCs/>
          <w:rtl/>
        </w:rPr>
        <w:t>החלטה בעניין הסדר כובל בתחום בריאות השן</w:t>
      </w:r>
      <w:r w:rsidRPr="00802D72">
        <w:rPr>
          <w:rFonts w:hint="cs"/>
          <w:rtl/>
        </w:rPr>
        <w:t>, לעיל ה"ש 5</w:t>
      </w:r>
      <w:r w:rsidRPr="00802D72">
        <w:rPr>
          <w:rFonts w:hint="cs"/>
          <w:b/>
          <w:bCs/>
          <w:rtl/>
        </w:rPr>
        <w:t xml:space="preserve">; </w:t>
      </w:r>
      <w:r w:rsidRPr="00802D72">
        <w:rPr>
          <w:rFonts w:hint="cs"/>
          <w:rtl/>
        </w:rPr>
        <w:t xml:space="preserve">מ' מזרחי "מיזם משותף כהסדר כובל" </w:t>
      </w:r>
      <w:r w:rsidRPr="00802D72">
        <w:rPr>
          <w:rFonts w:hint="cs"/>
          <w:b/>
          <w:bCs/>
          <w:rtl/>
        </w:rPr>
        <w:t>משפטים</w:t>
      </w:r>
      <w:r w:rsidRPr="00802D72">
        <w:rPr>
          <w:rFonts w:hint="cs"/>
          <w:rtl/>
        </w:rPr>
        <w:t xml:space="preserve"> כ"ג 213 (תשנ"ד).  </w:t>
      </w:r>
    </w:p>
  </w:footnote>
  <w:footnote w:id="36">
    <w:p w14:paraId="779A3D2E" w14:textId="77777777" w:rsidR="00802D72" w:rsidRDefault="00802D72" w:rsidP="00802D72">
      <w:pPr>
        <w:pStyle w:val="FootnoteText"/>
        <w:rPr>
          <w:rFonts w:cs="Times New Roman"/>
          <w:rtl/>
        </w:rPr>
      </w:pPr>
      <w:r w:rsidRPr="00802D72">
        <w:rPr>
          <w:rStyle w:val="FootnoteReference"/>
        </w:rPr>
        <w:footnoteRef/>
      </w:r>
      <w:r w:rsidRPr="00802D72">
        <w:t xml:space="preserve"> </w:t>
      </w:r>
      <w:r w:rsidRPr="00802D72">
        <w:rPr>
          <w:rtl/>
        </w:rPr>
        <w:t xml:space="preserve"> </w:t>
      </w:r>
      <w:r w:rsidRPr="00802D72">
        <w:rPr>
          <w:rFonts w:hint="eastAsia"/>
          <w:rtl/>
        </w:rPr>
        <w:t>כללי</w:t>
      </w:r>
      <w:r w:rsidRPr="00802D72">
        <w:rPr>
          <w:rtl/>
        </w:rPr>
        <w:t xml:space="preserve"> </w:t>
      </w:r>
      <w:r w:rsidRPr="00802D72">
        <w:rPr>
          <w:rFonts w:hint="eastAsia"/>
          <w:rtl/>
        </w:rPr>
        <w:t>ההגבלים</w:t>
      </w:r>
      <w:r w:rsidRPr="00802D72">
        <w:rPr>
          <w:rtl/>
        </w:rPr>
        <w:t xml:space="preserve"> </w:t>
      </w:r>
      <w:r w:rsidRPr="00802D72">
        <w:rPr>
          <w:rFonts w:hint="eastAsia"/>
          <w:rtl/>
        </w:rPr>
        <w:t>העסקיים</w:t>
      </w:r>
      <w:r w:rsidRPr="00802D72">
        <w:rPr>
          <w:rtl/>
        </w:rPr>
        <w:t xml:space="preserve"> (פטור </w:t>
      </w:r>
      <w:r w:rsidRPr="00802D72">
        <w:rPr>
          <w:rFonts w:hint="eastAsia"/>
          <w:rtl/>
        </w:rPr>
        <w:t>סוג</w:t>
      </w:r>
      <w:r w:rsidRPr="00802D72">
        <w:rPr>
          <w:rtl/>
        </w:rPr>
        <w:t xml:space="preserve"> </w:t>
      </w:r>
      <w:r w:rsidRPr="00802D72">
        <w:rPr>
          <w:rFonts w:hint="eastAsia"/>
          <w:rtl/>
        </w:rPr>
        <w:t>למיזמים</w:t>
      </w:r>
      <w:r w:rsidRPr="00802D72">
        <w:rPr>
          <w:rtl/>
        </w:rPr>
        <w:t xml:space="preserve"> </w:t>
      </w:r>
      <w:r w:rsidRPr="00802D72">
        <w:rPr>
          <w:rFonts w:hint="eastAsia"/>
          <w:rtl/>
        </w:rPr>
        <w:t>משותפים</w:t>
      </w:r>
      <w:r w:rsidRPr="00802D72">
        <w:rPr>
          <w:rtl/>
        </w:rPr>
        <w:t xml:space="preserve">) (הוראת </w:t>
      </w:r>
      <w:r w:rsidRPr="00802D72">
        <w:rPr>
          <w:rFonts w:hint="eastAsia"/>
          <w:rtl/>
        </w:rPr>
        <w:t>שעה</w:t>
      </w:r>
      <w:r w:rsidRPr="00802D72">
        <w:rPr>
          <w:rtl/>
        </w:rPr>
        <w:t>), תשס"ו-2006</w:t>
      </w:r>
      <w:r w:rsidRPr="00802D72">
        <w:rPr>
          <w:rFonts w:cs="Times New Roman"/>
          <w:rtl/>
        </w:rPr>
        <w:t>.</w:t>
      </w:r>
    </w:p>
    <w:p w14:paraId="7329F4E2" w14:textId="77777777" w:rsidR="00802D72" w:rsidRDefault="00802D72" w:rsidP="00802D72">
      <w:pPr>
        <w:pStyle w:val="FootnoteText"/>
        <w:rPr>
          <w:rt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D2E2D" w14:textId="77777777" w:rsidR="00A603A6" w:rsidRDefault="00365DFF">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14:paraId="1BC1341D" w14:textId="77777777" w:rsidR="00A603A6" w:rsidRDefault="00954B1A">
    <w:pPr>
      <w:pStyle w:val="Header"/>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C6E9D" w14:textId="77777777" w:rsidR="00A603A6" w:rsidRDefault="00954B1A" w:rsidP="00565074">
    <w:pPr>
      <w:pStyle w:val="Header"/>
      <w:jc w:val="both"/>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57554" w14:textId="04499128" w:rsidR="00BF6758" w:rsidRDefault="00802D72" w:rsidP="00BF6758">
    <w:pPr>
      <w:pStyle w:val="Header"/>
      <w:jc w:val="center"/>
      <w:rPr>
        <w:rtl/>
      </w:rPr>
    </w:pPr>
    <w:r>
      <w:rPr>
        <w:rFonts w:hint="cs"/>
        <w:rtl/>
      </w:rPr>
      <w:t xml:space="preserve"> </w:t>
    </w:r>
    <w:r w:rsidR="00954B1A">
      <w:rPr>
        <w:noProof/>
      </w:rPr>
      <w:drawing>
        <wp:inline distT="0" distB="0" distL="0" distR="0" wp14:anchorId="1552598A" wp14:editId="28AA2084">
          <wp:extent cx="639551" cy="8382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3351" cy="869392"/>
                  </a:xfrm>
                  <a:prstGeom prst="rect">
                    <a:avLst/>
                  </a:prstGeom>
                </pic:spPr>
              </pic:pic>
            </a:graphicData>
          </a:graphic>
        </wp:inline>
      </w:drawing>
    </w:r>
  </w:p>
  <w:p w14:paraId="06A315EC" w14:textId="4B900B04" w:rsidR="00700F39" w:rsidRPr="005F2B6B" w:rsidRDefault="00700F39" w:rsidP="00700F39">
    <w:pPr>
      <w:pStyle w:val="Header"/>
      <w:tabs>
        <w:tab w:val="clear" w:pos="4153"/>
        <w:tab w:val="clear" w:pos="8306"/>
      </w:tabs>
      <w:bidi w:val="0"/>
      <w:spacing w:line="240" w:lineRule="auto"/>
      <w:contextualSpacing/>
      <w:jc w:val="center"/>
      <w:rPr>
        <w:rFonts w:asciiTheme="minorHAnsi" w:hAnsi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DA61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924B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B00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46EA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AFEE6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89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E492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3654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DA19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9233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4245F8"/>
    <w:multiLevelType w:val="hybridMultilevel"/>
    <w:tmpl w:val="17BE539C"/>
    <w:lvl w:ilvl="0" w:tplc="306284AA">
      <w:start w:val="1"/>
      <w:numFmt w:val="decimal"/>
      <w:lvlText w:val="(%1)"/>
      <w:lvlJc w:val="left"/>
      <w:pPr>
        <w:ind w:left="1440" w:hanging="360"/>
      </w:pPr>
      <w:rPr>
        <w:rFonts w:cs="David" w:hint="default"/>
        <w:sz w:val="24"/>
        <w:szCs w:val="24"/>
        <w:vertAlign w:val="baseline"/>
      </w:rPr>
    </w:lvl>
    <w:lvl w:ilvl="1" w:tplc="306284AA">
      <w:start w:val="1"/>
      <w:numFmt w:val="decimal"/>
      <w:lvlText w:val="(%2)"/>
      <w:lvlJc w:val="left"/>
      <w:pPr>
        <w:ind w:left="2160" w:hanging="360"/>
      </w:pPr>
      <w:rPr>
        <w:rFonts w:cs="David" w:hint="default"/>
        <w:sz w:val="24"/>
        <w:szCs w:val="24"/>
        <w:vertAlign w:val="baseline"/>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C8F7E4B"/>
    <w:multiLevelType w:val="hybridMultilevel"/>
    <w:tmpl w:val="900CB914"/>
    <w:lvl w:ilvl="0" w:tplc="F58CA5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34B15"/>
    <w:multiLevelType w:val="hybridMultilevel"/>
    <w:tmpl w:val="EA54590C"/>
    <w:lvl w:ilvl="0" w:tplc="9440BE32">
      <w:start w:val="1"/>
      <w:numFmt w:val="decimal"/>
      <w:lvlText w:val="(%1)"/>
      <w:lvlJc w:val="left"/>
      <w:pPr>
        <w:ind w:left="1440" w:hanging="360"/>
      </w:pPr>
      <w:rPr>
        <w:rFonts w:cs="David" w:hint="default"/>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63E1040"/>
    <w:multiLevelType w:val="multilevel"/>
    <w:tmpl w:val="3C86653C"/>
    <w:lvl w:ilvl="0">
      <w:start w:val="1"/>
      <w:numFmt w:val="hebrew1"/>
      <w:lvlText w:val="%1."/>
      <w:lvlJc w:val="center"/>
      <w:pPr>
        <w:tabs>
          <w:tab w:val="num" w:pos="785"/>
        </w:tabs>
        <w:ind w:left="785" w:hanging="360"/>
      </w:pPr>
      <w:rPr>
        <w:rFonts w:cs="David"/>
        <w:b/>
        <w:bCs/>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237511C"/>
    <w:multiLevelType w:val="hybridMultilevel"/>
    <w:tmpl w:val="AA74AE3A"/>
    <w:lvl w:ilvl="0" w:tplc="D262846C">
      <w:start w:val="1"/>
      <w:numFmt w:val="hebrew1"/>
      <w:lvlText w:val="%1."/>
      <w:lvlJc w:val="left"/>
      <w:pPr>
        <w:ind w:left="357" w:hanging="35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5558F7"/>
    <w:multiLevelType w:val="hybridMultilevel"/>
    <w:tmpl w:val="2534BD6A"/>
    <w:lvl w:ilvl="0" w:tplc="306284AA">
      <w:start w:val="1"/>
      <w:numFmt w:val="decimal"/>
      <w:lvlText w:val="(%1)"/>
      <w:lvlJc w:val="left"/>
      <w:pPr>
        <w:ind w:left="1800" w:hanging="360"/>
      </w:pPr>
      <w:rPr>
        <w:rFonts w:cs="David" w:hint="default"/>
        <w:sz w:val="24"/>
        <w:szCs w:val="24"/>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E5F3F37"/>
    <w:multiLevelType w:val="multilevel"/>
    <w:tmpl w:val="F18C115A"/>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hebrew1"/>
      <w:lvlText w:val="%1.%2."/>
      <w:lvlJc w:val="center"/>
      <w:pPr>
        <w:ind w:left="964" w:hanging="454"/>
      </w:pPr>
      <w:rPr>
        <w:rFonts w:hint="default"/>
      </w:rPr>
    </w:lvl>
    <w:lvl w:ilvl="2">
      <w:start w:val="1"/>
      <w:numFmt w:val="decimal"/>
      <w:lvlText w:val="%1.%2.%3."/>
      <w:lvlJc w:val="center"/>
      <w:pPr>
        <w:ind w:left="1701" w:hanging="510"/>
      </w:pPr>
      <w:rPr>
        <w:rFonts w:hint="default"/>
      </w:rPr>
    </w:lvl>
    <w:lvl w:ilvl="3">
      <w:start w:val="1"/>
      <w:numFmt w:val="hebrew1"/>
      <w:lvlText w:val="%1.%2.%3.%4."/>
      <w:lvlJc w:val="center"/>
      <w:pPr>
        <w:ind w:left="2665" w:hanging="624"/>
      </w:pPr>
      <w:rPr>
        <w:rFonts w:hint="default"/>
      </w:rPr>
    </w:lvl>
    <w:lvl w:ilvl="4">
      <w:start w:val="1"/>
      <w:numFmt w:val="decimal"/>
      <w:lvlText w:val="%1.%2.%3.%4.%5."/>
      <w:lvlJc w:val="center"/>
      <w:pPr>
        <w:ind w:left="3799" w:hanging="709"/>
      </w:pPr>
      <w:rPr>
        <w:rFonts w:hint="default"/>
      </w:rPr>
    </w:lvl>
    <w:lvl w:ilvl="5">
      <w:start w:val="1"/>
      <w:numFmt w:val="hebrew1"/>
      <w:lvlText w:val="%1.%2.%3.%4.%5.%6."/>
      <w:lvlJc w:val="center"/>
      <w:pPr>
        <w:ind w:left="5160" w:hanging="822"/>
      </w:pPr>
      <w:rPr>
        <w:rFonts w:hint="default"/>
      </w:rPr>
    </w:lvl>
    <w:lvl w:ilvl="6">
      <w:start w:val="1"/>
      <w:numFmt w:val="decimal"/>
      <w:lvlText w:val="%1.%2.%3.%4.%5.%6.%7."/>
      <w:lvlJc w:val="center"/>
      <w:pPr>
        <w:ind w:left="6634" w:hanging="851"/>
      </w:pPr>
      <w:rPr>
        <w:rFonts w:hint="default"/>
      </w:rPr>
    </w:lvl>
    <w:lvl w:ilvl="7">
      <w:start w:val="1"/>
      <w:numFmt w:val="hebrew1"/>
      <w:lvlText w:val="%1.%2.%3.%4.%5.%6.%7.%8."/>
      <w:lvlJc w:val="center"/>
      <w:pPr>
        <w:ind w:left="8335" w:hanging="992"/>
      </w:pPr>
      <w:rPr>
        <w:rFonts w:hint="default"/>
      </w:rPr>
    </w:lvl>
    <w:lvl w:ilvl="8">
      <w:start w:val="1"/>
      <w:numFmt w:val="decimal"/>
      <w:lvlText w:val="%1.%2.%3.%4.%5.%6.%7.%8.%9."/>
      <w:lvlJc w:val="center"/>
      <w:pPr>
        <w:ind w:left="3240" w:hanging="360"/>
      </w:pPr>
      <w:rPr>
        <w:rFonts w:hint="default"/>
      </w:rPr>
    </w:lvl>
  </w:abstractNum>
  <w:abstractNum w:abstractNumId="17" w15:restartNumberingAfterBreak="0">
    <w:nsid w:val="32C56741"/>
    <w:multiLevelType w:val="hybridMultilevel"/>
    <w:tmpl w:val="0C300E86"/>
    <w:lvl w:ilvl="0" w:tplc="306284AA">
      <w:start w:val="1"/>
      <w:numFmt w:val="decimal"/>
      <w:lvlText w:val="(%1)"/>
      <w:lvlJc w:val="left"/>
      <w:pPr>
        <w:ind w:left="1440" w:hanging="360"/>
      </w:pPr>
      <w:rPr>
        <w:rFonts w:cs="David" w:hint="default"/>
        <w:sz w:val="24"/>
        <w:szCs w:val="24"/>
        <w:vertAlign w:val="baseli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71723F8"/>
    <w:multiLevelType w:val="hybridMultilevel"/>
    <w:tmpl w:val="4530C604"/>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CC49A3"/>
    <w:multiLevelType w:val="hybridMultilevel"/>
    <w:tmpl w:val="EB4209F4"/>
    <w:lvl w:ilvl="0" w:tplc="E41CB7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A70131A"/>
    <w:multiLevelType w:val="multilevel"/>
    <w:tmpl w:val="628E6F82"/>
    <w:lvl w:ilvl="0">
      <w:start w:val="1"/>
      <w:numFmt w:val="decimal"/>
      <w:lvlText w:val="%1."/>
      <w:lvlJc w:val="left"/>
      <w:pPr>
        <w:ind w:left="340" w:hanging="34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640B90"/>
    <w:multiLevelType w:val="multilevel"/>
    <w:tmpl w:val="9EAEF8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D62D93"/>
    <w:multiLevelType w:val="multilevel"/>
    <w:tmpl w:val="D2606A3C"/>
    <w:lvl w:ilvl="0">
      <w:start w:val="1"/>
      <w:numFmt w:val="decimal"/>
      <w:pStyle w:val="1"/>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588" w:hanging="681"/>
      </w:pPr>
      <w:rPr>
        <w:rFonts w:hint="default"/>
      </w:rPr>
    </w:lvl>
    <w:lvl w:ilvl="3">
      <w:start w:val="1"/>
      <w:numFmt w:val="decimal"/>
      <w:lvlText w:val="%1.%2.%3.%4."/>
      <w:lvlJc w:val="left"/>
      <w:pPr>
        <w:ind w:left="2438" w:hanging="850"/>
      </w:pPr>
      <w:rPr>
        <w:rFonts w:hint="default"/>
      </w:rPr>
    </w:lvl>
    <w:lvl w:ilvl="4">
      <w:start w:val="1"/>
      <w:numFmt w:val="decimal"/>
      <w:lvlText w:val="%1.%2.%3.%4.%5."/>
      <w:lvlJc w:val="left"/>
      <w:pPr>
        <w:ind w:left="3459" w:hanging="1021"/>
      </w:pPr>
      <w:rPr>
        <w:rFonts w:hint="default"/>
      </w:rPr>
    </w:lvl>
    <w:lvl w:ilvl="5">
      <w:start w:val="1"/>
      <w:numFmt w:val="decimal"/>
      <w:lvlText w:val="%1.%2.%3.%4.%5.%6."/>
      <w:lvlJc w:val="left"/>
      <w:pPr>
        <w:ind w:left="4649" w:hanging="1190"/>
      </w:pPr>
      <w:rPr>
        <w:rFonts w:hint="default"/>
      </w:rPr>
    </w:lvl>
    <w:lvl w:ilvl="6">
      <w:start w:val="1"/>
      <w:numFmt w:val="decimal"/>
      <w:lvlText w:val="%1.%2.%3.%4.%5.%6.%7."/>
      <w:lvlJc w:val="left"/>
      <w:pPr>
        <w:ind w:left="6010" w:hanging="1361"/>
      </w:pPr>
      <w:rPr>
        <w:rFonts w:hint="default"/>
      </w:rPr>
    </w:lvl>
    <w:lvl w:ilvl="7">
      <w:start w:val="1"/>
      <w:numFmt w:val="decimal"/>
      <w:lvlText w:val="%1.%2.%3.%4.%5.%6.%7.%8."/>
      <w:lvlJc w:val="left"/>
      <w:pPr>
        <w:ind w:left="7541" w:hanging="1531"/>
      </w:pPr>
      <w:rPr>
        <w:rFonts w:hint="default"/>
      </w:rPr>
    </w:lvl>
    <w:lvl w:ilvl="8">
      <w:start w:val="1"/>
      <w:numFmt w:val="decimal"/>
      <w:lvlText w:val="%1.%2.%3.%4.%5.%6.%7.%8.%9."/>
      <w:lvlJc w:val="left"/>
      <w:pPr>
        <w:ind w:left="9015" w:hanging="1474"/>
      </w:pPr>
      <w:rPr>
        <w:rFonts w:hint="default"/>
      </w:rPr>
    </w:lvl>
  </w:abstractNum>
  <w:abstractNum w:abstractNumId="23" w15:restartNumberingAfterBreak="0">
    <w:nsid w:val="514472A8"/>
    <w:multiLevelType w:val="hybridMultilevel"/>
    <w:tmpl w:val="4FA0FDD4"/>
    <w:lvl w:ilvl="0" w:tplc="085E55B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5E91AC7"/>
    <w:multiLevelType w:val="hybridMultilevel"/>
    <w:tmpl w:val="1AEC1684"/>
    <w:lvl w:ilvl="0" w:tplc="306284AA">
      <w:start w:val="1"/>
      <w:numFmt w:val="decimal"/>
      <w:lvlText w:val="(%1)"/>
      <w:lvlJc w:val="left"/>
      <w:pPr>
        <w:ind w:left="1440" w:hanging="360"/>
      </w:pPr>
      <w:rPr>
        <w:rFonts w:cs="David" w:hint="default"/>
        <w:sz w:val="24"/>
        <w:szCs w:val="24"/>
        <w:vertAlign w:val="baseline"/>
      </w:rPr>
    </w:lvl>
    <w:lvl w:ilvl="1" w:tplc="306284AA">
      <w:start w:val="1"/>
      <w:numFmt w:val="decimal"/>
      <w:lvlText w:val="(%2)"/>
      <w:lvlJc w:val="left"/>
      <w:pPr>
        <w:ind w:left="2160" w:hanging="360"/>
      </w:pPr>
      <w:rPr>
        <w:rFonts w:cs="David" w:hint="default"/>
        <w:sz w:val="24"/>
        <w:szCs w:val="24"/>
        <w:vertAlign w:val="baseline"/>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5F12D6"/>
    <w:multiLevelType w:val="hybridMultilevel"/>
    <w:tmpl w:val="87100334"/>
    <w:lvl w:ilvl="0" w:tplc="306284AA">
      <w:start w:val="1"/>
      <w:numFmt w:val="decimal"/>
      <w:lvlText w:val="(%1)"/>
      <w:lvlJc w:val="left"/>
      <w:pPr>
        <w:ind w:left="2160" w:hanging="360"/>
      </w:pPr>
      <w:rPr>
        <w:rFonts w:cs="David" w:hint="default"/>
        <w:sz w:val="24"/>
        <w:szCs w:val="24"/>
        <w:vertAlign w:val="baseline"/>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5B4E7644"/>
    <w:multiLevelType w:val="hybridMultilevel"/>
    <w:tmpl w:val="E034C8D8"/>
    <w:lvl w:ilvl="0" w:tplc="306284AA">
      <w:start w:val="1"/>
      <w:numFmt w:val="decimal"/>
      <w:lvlText w:val="(%1)"/>
      <w:lvlJc w:val="left"/>
      <w:pPr>
        <w:ind w:left="1440" w:hanging="360"/>
      </w:pPr>
      <w:rPr>
        <w:rFonts w:cs="David" w:hint="default"/>
        <w:sz w:val="24"/>
        <w:szCs w:val="24"/>
        <w:vertAlign w:val="baseline"/>
      </w:rPr>
    </w:lvl>
    <w:lvl w:ilvl="1" w:tplc="306284AA">
      <w:start w:val="1"/>
      <w:numFmt w:val="decimal"/>
      <w:lvlText w:val="(%2)"/>
      <w:lvlJc w:val="left"/>
      <w:pPr>
        <w:ind w:left="2160" w:hanging="360"/>
      </w:pPr>
      <w:rPr>
        <w:rFonts w:cs="David" w:hint="default"/>
        <w:sz w:val="24"/>
        <w:szCs w:val="24"/>
        <w:vertAlign w:val="baseline"/>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11365F7"/>
    <w:multiLevelType w:val="multilevel"/>
    <w:tmpl w:val="E948184C"/>
    <w:lvl w:ilvl="0">
      <w:start w:val="1"/>
      <w:numFmt w:val="hebrew1"/>
      <w:pStyle w:val="5"/>
      <w:lvlText w:val="%1."/>
      <w:lvlJc w:val="center"/>
      <w:pPr>
        <w:ind w:left="340" w:hanging="227"/>
      </w:pPr>
      <w:rPr>
        <w:rFonts w:hint="default"/>
      </w:rPr>
    </w:lvl>
    <w:lvl w:ilvl="1">
      <w:start w:val="1"/>
      <w:numFmt w:val="decimal"/>
      <w:lvlText w:val="%1.%2."/>
      <w:lvlJc w:val="center"/>
      <w:pPr>
        <w:ind w:left="720" w:hanging="360"/>
      </w:pPr>
      <w:rPr>
        <w:rFonts w:hint="default"/>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28" w15:restartNumberingAfterBreak="0">
    <w:nsid w:val="630A38CD"/>
    <w:multiLevelType w:val="hybridMultilevel"/>
    <w:tmpl w:val="915ACDD0"/>
    <w:lvl w:ilvl="0" w:tplc="306284AA">
      <w:start w:val="1"/>
      <w:numFmt w:val="decimal"/>
      <w:lvlText w:val="(%1)"/>
      <w:lvlJc w:val="left"/>
      <w:pPr>
        <w:ind w:left="1440" w:hanging="360"/>
      </w:pPr>
      <w:rPr>
        <w:rFonts w:cs="David" w:hint="default"/>
        <w:sz w:val="24"/>
        <w:szCs w:val="24"/>
        <w:vertAlign w:val="baseli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61E499C"/>
    <w:multiLevelType w:val="hybridMultilevel"/>
    <w:tmpl w:val="51B6251A"/>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61131"/>
    <w:multiLevelType w:val="multilevel"/>
    <w:tmpl w:val="965A6B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1ED63ED"/>
    <w:multiLevelType w:val="multilevel"/>
    <w:tmpl w:val="2CA88844"/>
    <w:lvl w:ilvl="0">
      <w:start w:val="1"/>
      <w:numFmt w:val="decimal"/>
      <w:lvlText w:val="%1."/>
      <w:lvlJc w:val="left"/>
      <w:pPr>
        <w:ind w:left="360" w:hanging="360"/>
      </w:pPr>
      <w:rPr>
        <w:rFonts w:hint="default"/>
      </w:rPr>
    </w:lvl>
    <w:lvl w:ilvl="1">
      <w:start w:val="1"/>
      <w:numFmt w:val="hebrew1"/>
      <w:lvlText w:val="%1.%2."/>
      <w:lvlJc w:val="center"/>
      <w:pPr>
        <w:ind w:left="964" w:hanging="397"/>
      </w:pPr>
      <w:rPr>
        <w:rFonts w:hint="default"/>
      </w:rPr>
    </w:lvl>
    <w:lvl w:ilvl="2">
      <w:start w:val="1"/>
      <w:numFmt w:val="decimal"/>
      <w:lvlText w:val="%1.%2.%3."/>
      <w:lvlJc w:val="center"/>
      <w:pPr>
        <w:ind w:left="1701" w:hanging="454"/>
      </w:pPr>
      <w:rPr>
        <w:rFonts w:hint="default"/>
      </w:rPr>
    </w:lvl>
    <w:lvl w:ilvl="3">
      <w:start w:val="1"/>
      <w:numFmt w:val="hebrew1"/>
      <w:lvlText w:val="%1.%2.%3.%4."/>
      <w:lvlJc w:val="center"/>
      <w:pPr>
        <w:ind w:left="2665" w:hanging="567"/>
      </w:pPr>
      <w:rPr>
        <w:rFonts w:hint="default"/>
      </w:rPr>
    </w:lvl>
    <w:lvl w:ilvl="4">
      <w:start w:val="1"/>
      <w:numFmt w:val="decimal"/>
      <w:lvlText w:val="%1.%2.%3.%4.%5."/>
      <w:lvlJc w:val="center"/>
      <w:pPr>
        <w:ind w:left="3799" w:hanging="680"/>
      </w:pPr>
      <w:rPr>
        <w:rFonts w:hint="default"/>
      </w:rPr>
    </w:lvl>
    <w:lvl w:ilvl="5">
      <w:start w:val="1"/>
      <w:numFmt w:val="hebrew1"/>
      <w:lvlText w:val="%1.%2.%3.%4.%5.%6."/>
      <w:lvlJc w:val="center"/>
      <w:pPr>
        <w:ind w:left="5160" w:hanging="794"/>
      </w:pPr>
      <w:rPr>
        <w:rFonts w:hint="default"/>
      </w:rPr>
    </w:lvl>
    <w:lvl w:ilvl="6">
      <w:start w:val="1"/>
      <w:numFmt w:val="decimal"/>
      <w:lvlText w:val="%1.%2.%3.%4.%5.%6.%7."/>
      <w:lvlJc w:val="center"/>
      <w:pPr>
        <w:ind w:left="6634" w:hanging="851"/>
      </w:pPr>
      <w:rPr>
        <w:rFonts w:hint="default"/>
      </w:rPr>
    </w:lvl>
    <w:lvl w:ilvl="7">
      <w:start w:val="1"/>
      <w:numFmt w:val="hebrew1"/>
      <w:lvlText w:val="%1.%2.%3.%4.%5.%6.%7.%8."/>
      <w:lvlJc w:val="center"/>
      <w:pPr>
        <w:ind w:left="8335" w:hanging="964"/>
      </w:pPr>
      <w:rPr>
        <w:rFonts w:hint="default"/>
      </w:rPr>
    </w:lvl>
    <w:lvl w:ilvl="8">
      <w:start w:val="1"/>
      <w:numFmt w:val="decimal"/>
      <w:lvlText w:val="%1.%2.%3.%4.%5.%6.%7.%8.%9."/>
      <w:lvlJc w:val="center"/>
      <w:pPr>
        <w:ind w:left="3240" w:hanging="360"/>
      </w:pPr>
      <w:rPr>
        <w:rFonts w:hint="default"/>
      </w:rPr>
    </w:lvl>
  </w:abstractNum>
  <w:abstractNum w:abstractNumId="32" w15:restartNumberingAfterBreak="0">
    <w:nsid w:val="735F4F69"/>
    <w:multiLevelType w:val="multilevel"/>
    <w:tmpl w:val="F3443FF2"/>
    <w:lvl w:ilvl="0">
      <w:start w:val="1"/>
      <w:numFmt w:val="decimal"/>
      <w:pStyle w:val="2"/>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hebrew1"/>
      <w:lvlText w:val="%2."/>
      <w:lvlJc w:val="center"/>
      <w:pPr>
        <w:ind w:left="737" w:hanging="283"/>
      </w:pPr>
      <w:rPr>
        <w:rFonts w:ascii="David" w:hAnsi="David" w:cs="David" w:hint="cs"/>
        <w:sz w:val="24"/>
        <w:szCs w:val="24"/>
      </w:rPr>
    </w:lvl>
    <w:lvl w:ilvl="2">
      <w:start w:val="1"/>
      <w:numFmt w:val="decimal"/>
      <w:lvlText w:val="(%3)"/>
      <w:lvlJc w:val="center"/>
      <w:pPr>
        <w:ind w:left="1191" w:hanging="340"/>
      </w:pPr>
      <w:rPr>
        <w:rFonts w:ascii="David" w:hAnsi="David" w:cs="David" w:hint="cs"/>
        <w:sz w:val="24"/>
        <w:szCs w:val="24"/>
      </w:rPr>
    </w:lvl>
    <w:lvl w:ilvl="3">
      <w:start w:val="1"/>
      <w:numFmt w:val="none"/>
      <w:lvlText w:val=""/>
      <w:lvlJc w:val="center"/>
      <w:pPr>
        <w:ind w:left="2665" w:hanging="624"/>
      </w:pPr>
      <w:rPr>
        <w:rFonts w:hint="default"/>
      </w:rPr>
    </w:lvl>
    <w:lvl w:ilvl="4">
      <w:start w:val="1"/>
      <w:numFmt w:val="none"/>
      <w:lvlText w:val=""/>
      <w:lvlJc w:val="center"/>
      <w:pPr>
        <w:ind w:left="3799" w:hanging="709"/>
      </w:pPr>
      <w:rPr>
        <w:rFonts w:hint="default"/>
      </w:rPr>
    </w:lvl>
    <w:lvl w:ilvl="5">
      <w:start w:val="1"/>
      <w:numFmt w:val="none"/>
      <w:lvlText w:val=""/>
      <w:lvlJc w:val="center"/>
      <w:pPr>
        <w:ind w:left="5160" w:hanging="822"/>
      </w:pPr>
      <w:rPr>
        <w:rFonts w:hint="default"/>
      </w:rPr>
    </w:lvl>
    <w:lvl w:ilvl="6">
      <w:start w:val="1"/>
      <w:numFmt w:val="none"/>
      <w:lvlText w:val=""/>
      <w:lvlJc w:val="center"/>
      <w:pPr>
        <w:ind w:left="6634" w:hanging="851"/>
      </w:pPr>
      <w:rPr>
        <w:rFonts w:hint="default"/>
      </w:rPr>
    </w:lvl>
    <w:lvl w:ilvl="7">
      <w:start w:val="1"/>
      <w:numFmt w:val="none"/>
      <w:lvlText w:val=""/>
      <w:lvlJc w:val="center"/>
      <w:pPr>
        <w:ind w:left="8335" w:hanging="992"/>
      </w:pPr>
      <w:rPr>
        <w:rFonts w:hint="default"/>
      </w:rPr>
    </w:lvl>
    <w:lvl w:ilvl="8">
      <w:start w:val="1"/>
      <w:numFmt w:val="none"/>
      <w:lvlText w:val=""/>
      <w:lvlJc w:val="center"/>
      <w:pPr>
        <w:ind w:left="3240" w:hanging="360"/>
      </w:pPr>
      <w:rPr>
        <w:rFonts w:hint="default"/>
      </w:rPr>
    </w:lvl>
  </w:abstractNum>
  <w:abstractNum w:abstractNumId="33" w15:restartNumberingAfterBreak="0">
    <w:nsid w:val="75132761"/>
    <w:multiLevelType w:val="hybridMultilevel"/>
    <w:tmpl w:val="E1C62398"/>
    <w:lvl w:ilvl="0" w:tplc="4A48FDD2">
      <w:start w:val="1"/>
      <w:numFmt w:val="hebrew1"/>
      <w:suff w:val="space"/>
      <w:lvlText w:val="%1."/>
      <w:lvlJc w:val="left"/>
      <w:pPr>
        <w:ind w:left="357" w:hanging="357"/>
      </w:pPr>
      <w:rPr>
        <w:rFonts w:ascii="David" w:hAnsi="David" w:cs="David" w:hint="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3748D4"/>
    <w:multiLevelType w:val="hybridMultilevel"/>
    <w:tmpl w:val="2CE01436"/>
    <w:lvl w:ilvl="0" w:tplc="9440BE32">
      <w:start w:val="1"/>
      <w:numFmt w:val="decimal"/>
      <w:lvlText w:val="(%1)"/>
      <w:lvlJc w:val="left"/>
      <w:pPr>
        <w:ind w:left="1440" w:hanging="360"/>
      </w:pPr>
      <w:rPr>
        <w:rFonts w:cs="David" w:hint="default"/>
        <w:vertAlign w:val="baseline"/>
      </w:rPr>
    </w:lvl>
    <w:lvl w:ilvl="1" w:tplc="DFC2D56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7"/>
  </w:num>
  <w:num w:numId="2">
    <w:abstractNumId w:val="11"/>
  </w:num>
  <w:num w:numId="3">
    <w:abstractNumId w:val="2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31"/>
  </w:num>
  <w:num w:numId="15">
    <w:abstractNumId w:val="16"/>
  </w:num>
  <w:num w:numId="16">
    <w:abstractNumId w:val="22"/>
  </w:num>
  <w:num w:numId="17">
    <w:abstractNumId w:val="18"/>
  </w:num>
  <w:num w:numId="18">
    <w:abstractNumId w:val="29"/>
  </w:num>
  <w:num w:numId="19">
    <w:abstractNumId w:val="14"/>
  </w:num>
  <w:num w:numId="20">
    <w:abstractNumId w:val="33"/>
  </w:num>
  <w:num w:numId="21">
    <w:abstractNumId w:val="32"/>
  </w:num>
  <w:num w:numId="22">
    <w:abstractNumId w:val="1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2"/>
  </w:num>
  <w:num w:numId="27">
    <w:abstractNumId w:val="34"/>
  </w:num>
  <w:num w:numId="28">
    <w:abstractNumId w:val="23"/>
  </w:num>
  <w:num w:numId="29">
    <w:abstractNumId w:val="25"/>
  </w:num>
  <w:num w:numId="30">
    <w:abstractNumId w:val="10"/>
  </w:num>
  <w:num w:numId="31">
    <w:abstractNumId w:val="17"/>
  </w:num>
  <w:num w:numId="32">
    <w:abstractNumId w:val="26"/>
  </w:num>
  <w:num w:numId="33">
    <w:abstractNumId w:val="28"/>
  </w:num>
  <w:num w:numId="34">
    <w:abstractNumId w:val="24"/>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F39"/>
    <w:rsid w:val="00003A3B"/>
    <w:rsid w:val="0001165C"/>
    <w:rsid w:val="00026E21"/>
    <w:rsid w:val="0004545A"/>
    <w:rsid w:val="00054DAD"/>
    <w:rsid w:val="000C0866"/>
    <w:rsid w:val="000F3BB2"/>
    <w:rsid w:val="00162CC2"/>
    <w:rsid w:val="001A0C31"/>
    <w:rsid w:val="001B0D80"/>
    <w:rsid w:val="001D13D4"/>
    <w:rsid w:val="002232DE"/>
    <w:rsid w:val="00231037"/>
    <w:rsid w:val="00254D6C"/>
    <w:rsid w:val="00264BE8"/>
    <w:rsid w:val="002A005F"/>
    <w:rsid w:val="002A365A"/>
    <w:rsid w:val="002B2F80"/>
    <w:rsid w:val="002B5E2E"/>
    <w:rsid w:val="002F7F15"/>
    <w:rsid w:val="00360BDB"/>
    <w:rsid w:val="00365DFF"/>
    <w:rsid w:val="003A79E3"/>
    <w:rsid w:val="003E394B"/>
    <w:rsid w:val="0042483B"/>
    <w:rsid w:val="004373B6"/>
    <w:rsid w:val="00441344"/>
    <w:rsid w:val="00497B91"/>
    <w:rsid w:val="004E2938"/>
    <w:rsid w:val="004E3AB1"/>
    <w:rsid w:val="005046A9"/>
    <w:rsid w:val="00526361"/>
    <w:rsid w:val="00536118"/>
    <w:rsid w:val="00577681"/>
    <w:rsid w:val="005841B8"/>
    <w:rsid w:val="005A0C54"/>
    <w:rsid w:val="005C700C"/>
    <w:rsid w:val="005D719C"/>
    <w:rsid w:val="005F1A77"/>
    <w:rsid w:val="005F2B6B"/>
    <w:rsid w:val="00600E4D"/>
    <w:rsid w:val="00626254"/>
    <w:rsid w:val="006320E5"/>
    <w:rsid w:val="00641657"/>
    <w:rsid w:val="006A1362"/>
    <w:rsid w:val="006C0145"/>
    <w:rsid w:val="006C15FB"/>
    <w:rsid w:val="006C5ADA"/>
    <w:rsid w:val="00700F39"/>
    <w:rsid w:val="00706E81"/>
    <w:rsid w:val="0072072E"/>
    <w:rsid w:val="0072289A"/>
    <w:rsid w:val="007627BD"/>
    <w:rsid w:val="007714C3"/>
    <w:rsid w:val="00777BBB"/>
    <w:rsid w:val="007B3ED8"/>
    <w:rsid w:val="00802D72"/>
    <w:rsid w:val="0081225A"/>
    <w:rsid w:val="008408E8"/>
    <w:rsid w:val="008B42C2"/>
    <w:rsid w:val="008C16BA"/>
    <w:rsid w:val="008E5E3F"/>
    <w:rsid w:val="008F5BEA"/>
    <w:rsid w:val="00915F16"/>
    <w:rsid w:val="00920404"/>
    <w:rsid w:val="009235D1"/>
    <w:rsid w:val="00945BEA"/>
    <w:rsid w:val="00954B1A"/>
    <w:rsid w:val="00962DA7"/>
    <w:rsid w:val="00970050"/>
    <w:rsid w:val="0097583C"/>
    <w:rsid w:val="00977EE2"/>
    <w:rsid w:val="009B7DAD"/>
    <w:rsid w:val="009C33A5"/>
    <w:rsid w:val="00A2436E"/>
    <w:rsid w:val="00A41403"/>
    <w:rsid w:val="00A415BB"/>
    <w:rsid w:val="00A51B02"/>
    <w:rsid w:val="00A637BF"/>
    <w:rsid w:val="00A7624E"/>
    <w:rsid w:val="00A92583"/>
    <w:rsid w:val="00AD5AC0"/>
    <w:rsid w:val="00AE04C0"/>
    <w:rsid w:val="00B07EEE"/>
    <w:rsid w:val="00B13D7C"/>
    <w:rsid w:val="00B2167F"/>
    <w:rsid w:val="00B35F37"/>
    <w:rsid w:val="00B44D58"/>
    <w:rsid w:val="00B6093D"/>
    <w:rsid w:val="00B6650B"/>
    <w:rsid w:val="00B7515E"/>
    <w:rsid w:val="00B80190"/>
    <w:rsid w:val="00B966A7"/>
    <w:rsid w:val="00BF6758"/>
    <w:rsid w:val="00C46FEC"/>
    <w:rsid w:val="00C47E5C"/>
    <w:rsid w:val="00C52997"/>
    <w:rsid w:val="00C72F96"/>
    <w:rsid w:val="00C75105"/>
    <w:rsid w:val="00CA5719"/>
    <w:rsid w:val="00D43398"/>
    <w:rsid w:val="00D80DA3"/>
    <w:rsid w:val="00D84A0A"/>
    <w:rsid w:val="00DD31A7"/>
    <w:rsid w:val="00DE59DC"/>
    <w:rsid w:val="00DE6A5D"/>
    <w:rsid w:val="00E01C5D"/>
    <w:rsid w:val="00E27BCD"/>
    <w:rsid w:val="00E45C97"/>
    <w:rsid w:val="00E52EF5"/>
    <w:rsid w:val="00EA6073"/>
    <w:rsid w:val="00EA64BA"/>
    <w:rsid w:val="00ED11B7"/>
    <w:rsid w:val="00EF29F7"/>
    <w:rsid w:val="00EF7BBB"/>
    <w:rsid w:val="00F96471"/>
    <w:rsid w:val="00FD3254"/>
    <w:rsid w:val="00FD3F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99255A"/>
  <w15:docId w15:val="{87E9BB2F-BAB7-49CB-AF12-3A3AF16F5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Times New Roman" w:hAnsi="David" w:cs="David"/>
        <w:sz w:val="24"/>
        <w:szCs w:val="24"/>
        <w:lang w:val="en-US" w:eastAsia="en-US" w:bidi="he-IL"/>
      </w:rPr>
    </w:rPrDefault>
    <w:pPrDefault>
      <w:pPr>
        <w:spacing w:after="120" w:line="360" w:lineRule="auto"/>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361"/>
    <w:pPr>
      <w:bidi/>
    </w:pPr>
  </w:style>
  <w:style w:type="paragraph" w:styleId="Heading1">
    <w:name w:val="heading 1"/>
    <w:basedOn w:val="Normal"/>
    <w:next w:val="Normal"/>
    <w:link w:val="Heading1Char"/>
    <w:uiPriority w:val="9"/>
    <w:rsid w:val="00AD5A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rsid w:val="005F1A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rsid w:val="005F1A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
    <w:name w:val="3. ציטוט"/>
    <w:basedOn w:val="Normal"/>
    <w:link w:val="30"/>
    <w:qFormat/>
    <w:rsid w:val="008F5BEA"/>
    <w:pPr>
      <w:spacing w:after="240" w:line="240" w:lineRule="auto"/>
      <w:ind w:left="1134" w:right="1134"/>
    </w:pPr>
  </w:style>
  <w:style w:type="character" w:customStyle="1" w:styleId="Heading1Char">
    <w:name w:val="Heading 1 Char"/>
    <w:basedOn w:val="DefaultParagraphFont"/>
    <w:link w:val="Heading1"/>
    <w:uiPriority w:val="9"/>
    <w:rsid w:val="00AD5AC0"/>
    <w:rPr>
      <w:rFonts w:asciiTheme="majorHAnsi" w:eastAsiaTheme="majorEastAsia" w:hAnsiTheme="majorHAnsi" w:cstheme="majorBidi"/>
      <w:b/>
      <w:bCs/>
      <w:color w:val="365F91" w:themeColor="accent1" w:themeShade="BF"/>
      <w:sz w:val="28"/>
      <w:szCs w:val="28"/>
    </w:rPr>
  </w:style>
  <w:style w:type="paragraph" w:customStyle="1" w:styleId="41">
    <w:name w:val="4. רמה 1"/>
    <w:next w:val="BodyText"/>
    <w:link w:val="410"/>
    <w:qFormat/>
    <w:rsid w:val="007627BD"/>
    <w:pPr>
      <w:spacing w:after="0"/>
      <w:outlineLvl w:val="0"/>
    </w:pPr>
    <w:rPr>
      <w:b/>
      <w:bCs/>
      <w:sz w:val="28"/>
      <w:szCs w:val="28"/>
      <w:u w:val="single"/>
    </w:rPr>
  </w:style>
  <w:style w:type="paragraph" w:styleId="ListParagraph">
    <w:name w:val="List Paragraph"/>
    <w:basedOn w:val="Normal"/>
    <w:link w:val="ListParagraphChar"/>
    <w:uiPriority w:val="34"/>
    <w:qFormat/>
    <w:rsid w:val="00B35F37"/>
    <w:pPr>
      <w:ind w:left="720"/>
      <w:contextualSpacing/>
    </w:pPr>
  </w:style>
  <w:style w:type="character" w:customStyle="1" w:styleId="Heading2Char">
    <w:name w:val="Heading 2 Char"/>
    <w:basedOn w:val="DefaultParagraphFont"/>
    <w:link w:val="Heading2"/>
    <w:uiPriority w:val="9"/>
    <w:rsid w:val="005F1A77"/>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semiHidden/>
    <w:unhideWhenUsed/>
    <w:rsid w:val="00B35F37"/>
    <w:pPr>
      <w:spacing w:after="100"/>
    </w:pPr>
  </w:style>
  <w:style w:type="paragraph" w:styleId="BodyText">
    <w:name w:val="Body Text"/>
    <w:basedOn w:val="Normal"/>
    <w:link w:val="BodyTextChar"/>
    <w:uiPriority w:val="99"/>
    <w:semiHidden/>
    <w:unhideWhenUsed/>
    <w:rsid w:val="00B35F37"/>
  </w:style>
  <w:style w:type="character" w:customStyle="1" w:styleId="BodyTextChar">
    <w:name w:val="Body Text Char"/>
    <w:basedOn w:val="DefaultParagraphFont"/>
    <w:link w:val="BodyText"/>
    <w:uiPriority w:val="99"/>
    <w:semiHidden/>
    <w:rsid w:val="00B35F37"/>
  </w:style>
  <w:style w:type="paragraph" w:styleId="ListContinue">
    <w:name w:val="List Continue"/>
    <w:basedOn w:val="Normal"/>
    <w:uiPriority w:val="99"/>
    <w:semiHidden/>
    <w:unhideWhenUsed/>
    <w:rsid w:val="00B35F37"/>
    <w:pPr>
      <w:ind w:left="283"/>
      <w:contextualSpacing/>
    </w:pPr>
  </w:style>
  <w:style w:type="paragraph" w:styleId="PlainText">
    <w:name w:val="Plain Text"/>
    <w:basedOn w:val="Normal"/>
    <w:link w:val="PlainTextChar"/>
    <w:uiPriority w:val="99"/>
    <w:semiHidden/>
    <w:unhideWhenUsed/>
    <w:rsid w:val="00B35F37"/>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B35F37"/>
    <w:rPr>
      <w:rFonts w:ascii="Consolas" w:hAnsi="Consolas" w:cs="Consolas"/>
      <w:sz w:val="21"/>
      <w:szCs w:val="21"/>
    </w:rPr>
  </w:style>
  <w:style w:type="paragraph" w:styleId="BodyTextIndent">
    <w:name w:val="Body Text Indent"/>
    <w:basedOn w:val="Normal"/>
    <w:link w:val="BodyTextIndentChar"/>
    <w:uiPriority w:val="99"/>
    <w:semiHidden/>
    <w:unhideWhenUsed/>
    <w:rsid w:val="00B35F37"/>
    <w:pPr>
      <w:ind w:left="283"/>
    </w:pPr>
  </w:style>
  <w:style w:type="character" w:customStyle="1" w:styleId="BodyTextIndentChar">
    <w:name w:val="Body Text Indent Char"/>
    <w:basedOn w:val="DefaultParagraphFont"/>
    <w:link w:val="BodyTextIndent"/>
    <w:uiPriority w:val="99"/>
    <w:semiHidden/>
    <w:rsid w:val="00B35F37"/>
  </w:style>
  <w:style w:type="character" w:customStyle="1" w:styleId="Heading3Char">
    <w:name w:val="Heading 3 Char"/>
    <w:basedOn w:val="DefaultParagraphFont"/>
    <w:link w:val="Heading3"/>
    <w:uiPriority w:val="9"/>
    <w:rsid w:val="005F1A77"/>
    <w:rPr>
      <w:rFonts w:asciiTheme="majorHAnsi" w:eastAsiaTheme="majorEastAsia" w:hAnsiTheme="majorHAnsi" w:cstheme="majorBidi"/>
      <w:b/>
      <w:bCs/>
      <w:color w:val="4F81BD" w:themeColor="accent1"/>
    </w:rPr>
  </w:style>
  <w:style w:type="paragraph" w:customStyle="1" w:styleId="52">
    <w:name w:val="5. רמה 2"/>
    <w:next w:val="BodyText"/>
    <w:link w:val="520"/>
    <w:qFormat/>
    <w:rsid w:val="007627BD"/>
    <w:pPr>
      <w:outlineLvl w:val="1"/>
    </w:pPr>
    <w:rPr>
      <w:b/>
      <w:bCs/>
      <w:u w:val="single"/>
    </w:rPr>
  </w:style>
  <w:style w:type="paragraph" w:customStyle="1" w:styleId="5">
    <w:name w:val="5. אלף בית"/>
    <w:basedOn w:val="Normal"/>
    <w:link w:val="50"/>
    <w:rsid w:val="00945BEA"/>
    <w:pPr>
      <w:numPr>
        <w:numId w:val="1"/>
      </w:numPr>
      <w:ind w:left="341" w:hanging="284"/>
    </w:pPr>
  </w:style>
  <w:style w:type="character" w:customStyle="1" w:styleId="50">
    <w:name w:val="5. אלף בית תו"/>
    <w:basedOn w:val="DefaultParagraphFont"/>
    <w:link w:val="5"/>
    <w:rsid w:val="00945BEA"/>
  </w:style>
  <w:style w:type="character" w:customStyle="1" w:styleId="410">
    <w:name w:val="4. רמה 1 תו"/>
    <w:basedOn w:val="DefaultParagraphFont"/>
    <w:link w:val="41"/>
    <w:rsid w:val="007627BD"/>
    <w:rPr>
      <w:b/>
      <w:bCs/>
      <w:sz w:val="28"/>
      <w:szCs w:val="28"/>
      <w:u w:val="single"/>
    </w:rPr>
  </w:style>
  <w:style w:type="character" w:customStyle="1" w:styleId="30">
    <w:name w:val="3. ציטוט תו"/>
    <w:basedOn w:val="DefaultParagraphFont"/>
    <w:link w:val="3"/>
    <w:rsid w:val="008F5BEA"/>
  </w:style>
  <w:style w:type="character" w:customStyle="1" w:styleId="520">
    <w:name w:val="5. רמה 2 תו"/>
    <w:basedOn w:val="410"/>
    <w:link w:val="52"/>
    <w:rsid w:val="007627BD"/>
    <w:rPr>
      <w:b/>
      <w:bCs/>
      <w:sz w:val="28"/>
      <w:szCs w:val="28"/>
      <w:u w:val="single"/>
    </w:rPr>
  </w:style>
  <w:style w:type="character" w:customStyle="1" w:styleId="7David">
    <w:name w:val="7. אנגלית David"/>
    <w:uiPriority w:val="1"/>
    <w:qFormat/>
    <w:rsid w:val="00600E4D"/>
    <w:rPr>
      <w:rFonts w:ascii="David" w:hAnsi="David" w:cs="David"/>
    </w:rPr>
  </w:style>
  <w:style w:type="paragraph" w:customStyle="1" w:styleId="63">
    <w:name w:val="6. רמה 3"/>
    <w:next w:val="BodyText"/>
    <w:link w:val="630"/>
    <w:qFormat/>
    <w:rsid w:val="007627BD"/>
    <w:pPr>
      <w:outlineLvl w:val="2"/>
    </w:pPr>
    <w:rPr>
      <w:b/>
      <w:bCs/>
    </w:rPr>
  </w:style>
  <w:style w:type="character" w:customStyle="1" w:styleId="630">
    <w:name w:val="6. רמה 3 תו"/>
    <w:basedOn w:val="520"/>
    <w:link w:val="63"/>
    <w:rsid w:val="007627BD"/>
    <w:rPr>
      <w:b/>
      <w:bCs/>
      <w:sz w:val="28"/>
      <w:szCs w:val="28"/>
      <w:u w:val="single"/>
    </w:rPr>
  </w:style>
  <w:style w:type="paragraph" w:styleId="FootnoteText">
    <w:name w:val="footnote text"/>
    <w:basedOn w:val="Normal"/>
    <w:link w:val="FootnoteTextChar"/>
    <w:uiPriority w:val="99"/>
    <w:unhideWhenUsed/>
    <w:rsid w:val="00D84A0A"/>
    <w:pPr>
      <w:spacing w:after="0" w:line="240" w:lineRule="auto"/>
    </w:pPr>
    <w:rPr>
      <w:sz w:val="20"/>
      <w:szCs w:val="20"/>
    </w:rPr>
  </w:style>
  <w:style w:type="character" w:customStyle="1" w:styleId="FootnoteTextChar">
    <w:name w:val="Footnote Text Char"/>
    <w:basedOn w:val="DefaultParagraphFont"/>
    <w:link w:val="FootnoteText"/>
    <w:uiPriority w:val="99"/>
    <w:rsid w:val="00D84A0A"/>
    <w:rPr>
      <w:sz w:val="20"/>
      <w:szCs w:val="20"/>
    </w:rPr>
  </w:style>
  <w:style w:type="character" w:styleId="FootnoteReference">
    <w:name w:val="footnote reference"/>
    <w:basedOn w:val="DefaultParagraphFont"/>
    <w:uiPriority w:val="99"/>
    <w:semiHidden/>
    <w:unhideWhenUsed/>
    <w:rsid w:val="00D84A0A"/>
    <w:rPr>
      <w:vertAlign w:val="superscript"/>
    </w:rPr>
  </w:style>
  <w:style w:type="paragraph" w:customStyle="1" w:styleId="8">
    <w:name w:val="8. ה&quot;ש"/>
    <w:basedOn w:val="FootnoteText"/>
    <w:qFormat/>
    <w:rsid w:val="00D84A0A"/>
    <w:pPr>
      <w:spacing w:after="60"/>
      <w:ind w:left="113" w:hanging="113"/>
    </w:pPr>
  </w:style>
  <w:style w:type="paragraph" w:styleId="Header">
    <w:name w:val="header"/>
    <w:basedOn w:val="Normal"/>
    <w:link w:val="HeaderChar"/>
    <w:uiPriority w:val="99"/>
    <w:rsid w:val="00EA6073"/>
    <w:pPr>
      <w:tabs>
        <w:tab w:val="center" w:pos="4153"/>
        <w:tab w:val="right" w:pos="8306"/>
      </w:tabs>
      <w:jc w:val="right"/>
    </w:pPr>
  </w:style>
  <w:style w:type="character" w:customStyle="1" w:styleId="HeaderChar">
    <w:name w:val="Header Char"/>
    <w:basedOn w:val="DefaultParagraphFont"/>
    <w:link w:val="Header"/>
    <w:uiPriority w:val="99"/>
    <w:rsid w:val="00EA6073"/>
  </w:style>
  <w:style w:type="paragraph" w:styleId="Footer">
    <w:name w:val="footer"/>
    <w:basedOn w:val="Normal"/>
    <w:link w:val="FooterChar"/>
    <w:uiPriority w:val="99"/>
    <w:rsid w:val="00EA6073"/>
    <w:pPr>
      <w:tabs>
        <w:tab w:val="center" w:pos="4153"/>
        <w:tab w:val="right" w:pos="8306"/>
      </w:tabs>
      <w:jc w:val="right"/>
    </w:pPr>
  </w:style>
  <w:style w:type="character" w:customStyle="1" w:styleId="FooterChar">
    <w:name w:val="Footer Char"/>
    <w:basedOn w:val="DefaultParagraphFont"/>
    <w:link w:val="Footer"/>
    <w:uiPriority w:val="99"/>
    <w:rsid w:val="00EA6073"/>
  </w:style>
  <w:style w:type="character" w:styleId="PageNumber">
    <w:name w:val="page number"/>
    <w:basedOn w:val="DefaultParagraphFont"/>
    <w:rsid w:val="00EA6073"/>
  </w:style>
  <w:style w:type="character" w:styleId="Hyperlink">
    <w:name w:val="Hyperlink"/>
    <w:rsid w:val="00EA6073"/>
    <w:rPr>
      <w:color w:val="0000FF"/>
      <w:u w:val="single"/>
    </w:rPr>
  </w:style>
  <w:style w:type="character" w:styleId="PlaceholderText">
    <w:name w:val="Placeholder Text"/>
    <w:basedOn w:val="DefaultParagraphFont"/>
    <w:uiPriority w:val="99"/>
    <w:semiHidden/>
    <w:rsid w:val="00EA6073"/>
    <w:rPr>
      <w:color w:val="808080"/>
    </w:rPr>
  </w:style>
  <w:style w:type="character" w:customStyle="1" w:styleId="10">
    <w:name w:val="סגנון1"/>
    <w:basedOn w:val="DefaultParagraphFont"/>
    <w:uiPriority w:val="1"/>
    <w:rsid w:val="00EA6073"/>
    <w:rPr>
      <w:rFonts w:ascii="David" w:hAnsi="David" w:cs="David"/>
      <w:b/>
      <w:bCs/>
      <w:sz w:val="24"/>
      <w:szCs w:val="24"/>
      <w:u w:val="single"/>
    </w:rPr>
  </w:style>
  <w:style w:type="character" w:customStyle="1" w:styleId="20">
    <w:name w:val="סגנון2"/>
    <w:basedOn w:val="DefaultParagraphFont"/>
    <w:uiPriority w:val="1"/>
    <w:rsid w:val="00EA6073"/>
    <w:rPr>
      <w:rFonts w:ascii="David" w:eastAsia="David" w:hAnsi="David" w:cs="David"/>
      <w:sz w:val="20"/>
      <w:szCs w:val="20"/>
    </w:rPr>
  </w:style>
  <w:style w:type="character" w:customStyle="1" w:styleId="31">
    <w:name w:val="סגנון3"/>
    <w:basedOn w:val="DefaultParagraphFont"/>
    <w:uiPriority w:val="1"/>
    <w:rsid w:val="00EA6073"/>
    <w:rPr>
      <w:rFonts w:ascii="David" w:eastAsia="David" w:hAnsi="David" w:cs="David"/>
      <w:b/>
      <w:bCs/>
      <w:sz w:val="24"/>
      <w:szCs w:val="24"/>
    </w:rPr>
  </w:style>
  <w:style w:type="character" w:customStyle="1" w:styleId="51">
    <w:name w:val="סגנון5"/>
    <w:basedOn w:val="DefaultParagraphFont"/>
    <w:uiPriority w:val="1"/>
    <w:rsid w:val="00EA6073"/>
    <w:rPr>
      <w:rFonts w:ascii="David" w:hAnsi="David" w:cs="David"/>
      <w:sz w:val="20"/>
      <w:szCs w:val="20"/>
    </w:rPr>
  </w:style>
  <w:style w:type="character" w:customStyle="1" w:styleId="6">
    <w:name w:val="סגנון6"/>
    <w:basedOn w:val="DefaultParagraphFont"/>
    <w:uiPriority w:val="1"/>
    <w:rsid w:val="00EA6073"/>
    <w:rPr>
      <w:rFonts w:ascii="David" w:eastAsia="David" w:hAnsi="David" w:cs="David"/>
      <w:b/>
      <w:bCs/>
      <w:sz w:val="24"/>
      <w:szCs w:val="24"/>
      <w:u w:val="single"/>
    </w:rPr>
  </w:style>
  <w:style w:type="paragraph" w:styleId="BalloonText">
    <w:name w:val="Balloon Text"/>
    <w:basedOn w:val="Normal"/>
    <w:link w:val="BalloonTextChar"/>
    <w:uiPriority w:val="99"/>
    <w:semiHidden/>
    <w:unhideWhenUsed/>
    <w:rsid w:val="00EA6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073"/>
    <w:rPr>
      <w:rFonts w:ascii="Tahoma" w:hAnsi="Tahoma" w:cs="Tahoma"/>
      <w:sz w:val="16"/>
      <w:szCs w:val="16"/>
    </w:rPr>
  </w:style>
  <w:style w:type="character" w:customStyle="1" w:styleId="80">
    <w:name w:val="סגנון8"/>
    <w:basedOn w:val="DefaultParagraphFont"/>
    <w:uiPriority w:val="1"/>
    <w:rsid w:val="00EA6073"/>
    <w:rPr>
      <w:rFonts w:cs="David"/>
      <w:szCs w:val="28"/>
    </w:rPr>
  </w:style>
  <w:style w:type="paragraph" w:customStyle="1" w:styleId="2">
    <w:name w:val="2. מס'+אב"/>
    <w:basedOn w:val="ListParagraph"/>
    <w:link w:val="21"/>
    <w:qFormat/>
    <w:rsid w:val="00DE59DC"/>
    <w:pPr>
      <w:numPr>
        <w:numId w:val="21"/>
      </w:numPr>
      <w:contextualSpacing w:val="0"/>
    </w:pPr>
  </w:style>
  <w:style w:type="paragraph" w:customStyle="1" w:styleId="1">
    <w:name w:val="1. מספור"/>
    <w:basedOn w:val="BodyText"/>
    <w:link w:val="11"/>
    <w:qFormat/>
    <w:rsid w:val="00526361"/>
    <w:pPr>
      <w:numPr>
        <w:numId w:val="16"/>
      </w:numPr>
    </w:pPr>
  </w:style>
  <w:style w:type="character" w:customStyle="1" w:styleId="ListParagraphChar">
    <w:name w:val="List Paragraph Char"/>
    <w:basedOn w:val="DefaultParagraphFont"/>
    <w:link w:val="ListParagraph"/>
    <w:uiPriority w:val="34"/>
    <w:rsid w:val="00497B91"/>
  </w:style>
  <w:style w:type="character" w:customStyle="1" w:styleId="21">
    <w:name w:val="2. מס'+אב תו"/>
    <w:basedOn w:val="ListParagraphChar"/>
    <w:link w:val="2"/>
    <w:rsid w:val="00DE59DC"/>
  </w:style>
  <w:style w:type="character" w:customStyle="1" w:styleId="11">
    <w:name w:val="1. מספור תו"/>
    <w:basedOn w:val="50"/>
    <w:link w:val="1"/>
    <w:rsid w:val="00526361"/>
  </w:style>
  <w:style w:type="character" w:customStyle="1" w:styleId="100">
    <w:name w:val="סגנון10"/>
    <w:basedOn w:val="DefaultParagraphFont"/>
    <w:uiPriority w:val="1"/>
    <w:rsid w:val="000F3BB2"/>
    <w:rPr>
      <w:rFonts w:cs="David"/>
      <w:bCs/>
      <w:szCs w:val="36"/>
      <w:u w:val="single"/>
    </w:rPr>
  </w:style>
  <w:style w:type="paragraph" w:customStyle="1" w:styleId="a">
    <w:name w:val="a"/>
    <w:basedOn w:val="Normal"/>
    <w:rsid w:val="00802D72"/>
    <w:pPr>
      <w:bidi w:val="0"/>
      <w:spacing w:before="100" w:beforeAutospacing="1" w:after="100" w:afterAutospacing="1" w:line="240" w:lineRule="auto"/>
      <w:jc w:val="left"/>
    </w:pPr>
    <w:rPr>
      <w:rFonts w:ascii="Times New Roman" w:eastAsiaTheme="minorEastAsia" w:hAnsi="Times New Roman" w:cs="Times New Roman"/>
    </w:rPr>
  </w:style>
  <w:style w:type="character" w:styleId="Strong">
    <w:name w:val="Strong"/>
    <w:basedOn w:val="DefaultParagraphFont"/>
    <w:uiPriority w:val="22"/>
    <w:qFormat/>
    <w:rsid w:val="00802D72"/>
    <w:rPr>
      <w:b/>
      <w:bCs/>
    </w:rPr>
  </w:style>
  <w:style w:type="character" w:styleId="Emphasis">
    <w:name w:val="Emphasis"/>
    <w:basedOn w:val="DefaultParagraphFont"/>
    <w:uiPriority w:val="20"/>
    <w:qFormat/>
    <w:rsid w:val="00802D72"/>
    <w:rPr>
      <w:i/>
      <w:iCs/>
    </w:rPr>
  </w:style>
  <w:style w:type="paragraph" w:styleId="CommentText">
    <w:name w:val="annotation text"/>
    <w:basedOn w:val="Normal"/>
    <w:link w:val="CommentTextChar"/>
    <w:uiPriority w:val="99"/>
    <w:semiHidden/>
    <w:unhideWhenUsed/>
    <w:rsid w:val="0004545A"/>
    <w:pPr>
      <w:bidi w:val="0"/>
      <w:spacing w:after="0" w:line="240" w:lineRule="auto"/>
      <w:jc w:val="left"/>
    </w:pPr>
    <w:rPr>
      <w:rFonts w:ascii="Times New Roman" w:eastAsiaTheme="minorEastAsia" w:hAnsi="Times New Roman" w:cs="Times New Roman"/>
      <w:sz w:val="20"/>
      <w:szCs w:val="20"/>
    </w:rPr>
  </w:style>
  <w:style w:type="character" w:customStyle="1" w:styleId="CommentTextChar">
    <w:name w:val="Comment Text Char"/>
    <w:basedOn w:val="DefaultParagraphFont"/>
    <w:link w:val="CommentText"/>
    <w:uiPriority w:val="99"/>
    <w:semiHidden/>
    <w:rsid w:val="0004545A"/>
    <w:rPr>
      <w:rFonts w:ascii="Times New Roman" w:eastAsiaTheme="minorEastAsia" w:hAnsi="Times New Roman" w:cs="Times New Roman"/>
      <w:sz w:val="20"/>
      <w:szCs w:val="20"/>
    </w:rPr>
  </w:style>
  <w:style w:type="character" w:styleId="CommentReference">
    <w:name w:val="annotation reference"/>
    <w:basedOn w:val="DefaultParagraphFont"/>
    <w:uiPriority w:val="99"/>
    <w:semiHidden/>
    <w:unhideWhenUsed/>
    <w:rsid w:val="0004545A"/>
    <w:rPr>
      <w:sz w:val="16"/>
      <w:szCs w:val="16"/>
    </w:rPr>
  </w:style>
  <w:style w:type="paragraph" w:styleId="CommentSubject">
    <w:name w:val="annotation subject"/>
    <w:basedOn w:val="CommentText"/>
    <w:next w:val="CommentText"/>
    <w:link w:val="CommentSubjectChar"/>
    <w:uiPriority w:val="99"/>
    <w:semiHidden/>
    <w:unhideWhenUsed/>
    <w:rsid w:val="007B3ED8"/>
    <w:pPr>
      <w:bidi/>
      <w:spacing w:after="120"/>
      <w:jc w:val="both"/>
    </w:pPr>
    <w:rPr>
      <w:rFonts w:ascii="David" w:eastAsia="Times New Roman" w:hAnsi="David" w:cs="David"/>
      <w:b/>
      <w:bCs/>
    </w:rPr>
  </w:style>
  <w:style w:type="character" w:customStyle="1" w:styleId="CommentSubjectChar">
    <w:name w:val="Comment Subject Char"/>
    <w:basedOn w:val="CommentTextChar"/>
    <w:link w:val="CommentSubject"/>
    <w:uiPriority w:val="99"/>
    <w:semiHidden/>
    <w:rsid w:val="007B3ED8"/>
    <w:rPr>
      <w:rFonts w:ascii="Times New Roman" w:eastAsiaTheme="minorEastAsia"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nevo.co.il/psika_html/mechozi/ME-10-12-22847-66.htm" TargetMode="External"/><Relationship Id="rId3" Type="http://schemas.openxmlformats.org/officeDocument/2006/relationships/hyperlink" Target="http://www.nevo.co.il/psika_html/elyon/0204855-padi.htm" TargetMode="External"/><Relationship Id="rId7" Type="http://schemas.openxmlformats.org/officeDocument/2006/relationships/hyperlink" Target="http://www.nevo.co.il/psika_html/mechozi/ME-10-12-22847-66.htm" TargetMode="External"/><Relationship Id="rId2" Type="http://schemas.openxmlformats.org/officeDocument/2006/relationships/hyperlink" Target="http://www.nevo.co.il/Law_word/law06/tak-6483.pdf" TargetMode="External"/><Relationship Id="rId1" Type="http://schemas.openxmlformats.org/officeDocument/2006/relationships/hyperlink" Target="http://www.oecd.org/regreform/sectors/41646059.pdf" TargetMode="External"/><Relationship Id="rId6" Type="http://schemas.openxmlformats.org/officeDocument/2006/relationships/hyperlink" Target="http://www.nevo.co.il/psika_html/chozim/m001049.htm" TargetMode="External"/><Relationship Id="rId5" Type="http://schemas.openxmlformats.org/officeDocument/2006/relationships/hyperlink" Target="http://www.nevo.co.il/psika_html/chozim/m001049.htm" TargetMode="External"/><Relationship Id="rId4" Type="http://schemas.openxmlformats.org/officeDocument/2006/relationships/hyperlink" Target="http://www.nevo.co.il/psika_html/chozim/m001049.htm" TargetMode="External"/><Relationship Id="rId9" Type="http://schemas.openxmlformats.org/officeDocument/2006/relationships/hyperlink" Target="http://www.nevo.co.il/psika_html/chozim/m001049.ht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ylaf\Desktop\&#1514;&#1489;&#1504;&#1497;&#1514;%20&#1502;&#1513;&#1508;&#1496;&#1497;&#1514;%20&#1512;&#1497;&#1511;&#149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ixth Edition" SelectedStyle="\APASixthEditionOfficeOnline.xsl"/>
</file>

<file path=customXml/itemProps1.xml><?xml version="1.0" encoding="utf-8"?>
<ds:datastoreItem xmlns:ds="http://schemas.openxmlformats.org/officeDocument/2006/customXml" ds:itemID="{7A98C2BD-51B5-48BE-98BD-DA666A343EF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תבנית משפטית ריקה</Template>
  <TotalTime>0</TotalTime>
  <Pages>14</Pages>
  <Words>4453</Words>
  <Characters>22270</Characters>
  <Application>Microsoft Office Word</Application>
  <DocSecurity>4</DocSecurity>
  <Lines>185</Lines>
  <Paragraphs>53</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26670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Ayla Fineberg</dc:creator>
  <cp:lastModifiedBy>Melita Shafir</cp:lastModifiedBy>
  <cp:revision>2</cp:revision>
  <dcterms:created xsi:type="dcterms:W3CDTF">2019-05-02T05:47:00Z</dcterms:created>
  <dcterms:modified xsi:type="dcterms:W3CDTF">2019-05-02T05:47:00Z</dcterms:modified>
</cp:coreProperties>
</file>